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A5FF24" w14:textId="77777777" w:rsidR="00267742" w:rsidRDefault="00267742" w:rsidP="004B467C">
      <w:pPr>
        <w:rPr>
          <w:rFonts w:ascii="Times New Roman" w:hAnsi="Times New Roman" w:cs="Times New Roman"/>
          <w:sz w:val="26"/>
          <w:szCs w:val="26"/>
        </w:rPr>
      </w:pPr>
    </w:p>
    <w:p w14:paraId="3938AD1A" w14:textId="77777777" w:rsidR="00267742" w:rsidRDefault="00267742" w:rsidP="004B467C">
      <w:pPr>
        <w:rPr>
          <w:rFonts w:ascii="Times New Roman" w:hAnsi="Times New Roman" w:cs="Times New Roman"/>
          <w:sz w:val="26"/>
          <w:szCs w:val="26"/>
        </w:rPr>
      </w:pPr>
    </w:p>
    <w:p w14:paraId="28DF3880" w14:textId="7939CB49" w:rsidR="00267742" w:rsidRPr="007E1790" w:rsidRDefault="00267742" w:rsidP="00267742">
      <w:pPr>
        <w:jc w:val="center"/>
        <w:rPr>
          <w:rFonts w:ascii="Times New Roman" w:hAnsi="Times New Roman" w:cs="Times New Roman"/>
          <w:sz w:val="44"/>
          <w:szCs w:val="26"/>
        </w:rPr>
      </w:pPr>
      <w:r w:rsidRPr="007E1790">
        <w:rPr>
          <w:rFonts w:ascii="Times New Roman" w:hAnsi="Times New Roman" w:cs="Times New Roman"/>
          <w:sz w:val="44"/>
          <w:szCs w:val="26"/>
        </w:rPr>
        <w:t xml:space="preserve">Major </w:t>
      </w:r>
      <w:proofErr w:type="spellStart"/>
      <w:r w:rsidRPr="007E1790">
        <w:rPr>
          <w:rFonts w:ascii="Times New Roman" w:hAnsi="Times New Roman" w:cs="Times New Roman"/>
          <w:sz w:val="44"/>
          <w:szCs w:val="26"/>
        </w:rPr>
        <w:t>labour</w:t>
      </w:r>
      <w:proofErr w:type="spellEnd"/>
      <w:r w:rsidRPr="007E1790">
        <w:rPr>
          <w:rFonts w:ascii="Times New Roman" w:hAnsi="Times New Roman" w:cs="Times New Roman"/>
          <w:sz w:val="44"/>
          <w:szCs w:val="26"/>
        </w:rPr>
        <w:t xml:space="preserve"> market changes and Policy implications for the improvement of fairness and equality focused on the </w:t>
      </w:r>
      <w:proofErr w:type="spellStart"/>
      <w:r w:rsidRPr="007E1790">
        <w:rPr>
          <w:rFonts w:ascii="Times New Roman" w:hAnsi="Times New Roman" w:cs="Times New Roman"/>
          <w:sz w:val="44"/>
          <w:szCs w:val="26"/>
        </w:rPr>
        <w:t>labour</w:t>
      </w:r>
      <w:proofErr w:type="spellEnd"/>
      <w:r w:rsidRPr="007E1790">
        <w:rPr>
          <w:rFonts w:ascii="Times New Roman" w:hAnsi="Times New Roman" w:cs="Times New Roman"/>
          <w:sz w:val="44"/>
          <w:szCs w:val="26"/>
        </w:rPr>
        <w:t xml:space="preserve"> market</w:t>
      </w:r>
    </w:p>
    <w:p w14:paraId="6BDCE19A" w14:textId="77777777" w:rsidR="00267742" w:rsidRPr="007E1790" w:rsidRDefault="00267742" w:rsidP="00267742">
      <w:pPr>
        <w:jc w:val="center"/>
        <w:rPr>
          <w:rFonts w:ascii="Times New Roman" w:hAnsi="Times New Roman" w:cs="Times New Roman"/>
          <w:sz w:val="44"/>
          <w:szCs w:val="26"/>
        </w:rPr>
      </w:pPr>
    </w:p>
    <w:p w14:paraId="13C7D220" w14:textId="219F650D" w:rsidR="00267742" w:rsidRPr="007E1790" w:rsidRDefault="00267742" w:rsidP="00267742">
      <w:pPr>
        <w:jc w:val="center"/>
        <w:rPr>
          <w:rFonts w:ascii="Times New Roman" w:hAnsi="Times New Roman" w:cs="Times New Roman"/>
          <w:sz w:val="44"/>
          <w:szCs w:val="26"/>
        </w:rPr>
      </w:pPr>
    </w:p>
    <w:p w14:paraId="7AF45D44" w14:textId="0BAAE6BA" w:rsidR="00267742" w:rsidRPr="007E1790" w:rsidRDefault="00267742" w:rsidP="00267742">
      <w:pPr>
        <w:jc w:val="center"/>
        <w:rPr>
          <w:rFonts w:ascii="Times New Roman" w:hAnsi="Times New Roman" w:cs="Times New Roman"/>
          <w:sz w:val="44"/>
          <w:szCs w:val="26"/>
        </w:rPr>
      </w:pPr>
    </w:p>
    <w:p w14:paraId="36622C23" w14:textId="6F4407E3" w:rsidR="00267742" w:rsidRPr="007E1790" w:rsidRDefault="00267742" w:rsidP="00267742">
      <w:pPr>
        <w:jc w:val="center"/>
        <w:rPr>
          <w:rFonts w:ascii="Times New Roman" w:hAnsi="Times New Roman" w:cs="Times New Roman"/>
          <w:sz w:val="44"/>
          <w:szCs w:val="26"/>
        </w:rPr>
      </w:pPr>
    </w:p>
    <w:p w14:paraId="1FEF931E" w14:textId="44EB9EEB" w:rsidR="00267742" w:rsidRPr="007E1790" w:rsidRDefault="00267742" w:rsidP="00267742">
      <w:pPr>
        <w:jc w:val="center"/>
        <w:rPr>
          <w:rFonts w:ascii="Times New Roman" w:hAnsi="Times New Roman" w:cs="Times New Roman"/>
          <w:sz w:val="44"/>
          <w:szCs w:val="26"/>
        </w:rPr>
      </w:pPr>
    </w:p>
    <w:p w14:paraId="1CC9697B" w14:textId="77777777" w:rsidR="00267742" w:rsidRPr="007E1790" w:rsidRDefault="00267742" w:rsidP="00267742">
      <w:pPr>
        <w:jc w:val="center"/>
        <w:rPr>
          <w:rFonts w:ascii="Times New Roman" w:hAnsi="Times New Roman" w:cs="Times New Roman" w:hint="eastAsia"/>
          <w:sz w:val="44"/>
          <w:szCs w:val="26"/>
        </w:rPr>
      </w:pPr>
    </w:p>
    <w:p w14:paraId="725C6CD9" w14:textId="77777777" w:rsidR="00267742" w:rsidRPr="007E1790" w:rsidRDefault="00267742" w:rsidP="00267742">
      <w:pPr>
        <w:jc w:val="center"/>
        <w:rPr>
          <w:rFonts w:ascii="Times New Roman" w:hAnsi="Times New Roman" w:cs="Times New Roman"/>
          <w:sz w:val="44"/>
          <w:szCs w:val="26"/>
        </w:rPr>
      </w:pPr>
      <w:r w:rsidRPr="007E1790">
        <w:rPr>
          <w:rFonts w:ascii="Times New Roman" w:hAnsi="Times New Roman" w:cs="Times New Roman"/>
          <w:sz w:val="44"/>
          <w:szCs w:val="26"/>
        </w:rPr>
        <w:t>2018</w:t>
      </w:r>
      <w:r w:rsidRPr="007E1790">
        <w:rPr>
          <w:rFonts w:ascii="Times New Roman" w:hAnsi="Times New Roman" w:cs="Times New Roman"/>
          <w:sz w:val="44"/>
          <w:szCs w:val="26"/>
        </w:rPr>
        <w:t>년</w:t>
      </w:r>
      <w:r w:rsidRPr="007E1790">
        <w:rPr>
          <w:rFonts w:ascii="Times New Roman" w:hAnsi="Times New Roman" w:cs="Times New Roman"/>
          <w:sz w:val="44"/>
          <w:szCs w:val="26"/>
        </w:rPr>
        <w:t xml:space="preserve"> 8</w:t>
      </w:r>
      <w:r w:rsidRPr="007E1790">
        <w:rPr>
          <w:rFonts w:ascii="Times New Roman" w:hAnsi="Times New Roman" w:cs="Times New Roman"/>
          <w:sz w:val="44"/>
          <w:szCs w:val="26"/>
        </w:rPr>
        <w:t>월</w:t>
      </w:r>
    </w:p>
    <w:p w14:paraId="29AC1421" w14:textId="77777777" w:rsidR="00267742" w:rsidRPr="007E1790" w:rsidRDefault="00267742" w:rsidP="00267742">
      <w:pPr>
        <w:jc w:val="center"/>
        <w:rPr>
          <w:rFonts w:ascii="Times New Roman" w:hAnsi="Times New Roman" w:cs="Times New Roman"/>
          <w:sz w:val="44"/>
          <w:szCs w:val="26"/>
        </w:rPr>
      </w:pPr>
    </w:p>
    <w:p w14:paraId="29E4373D" w14:textId="3327ECDD" w:rsidR="00267742" w:rsidRPr="007E1790" w:rsidRDefault="00267742" w:rsidP="00267742">
      <w:pPr>
        <w:jc w:val="center"/>
        <w:rPr>
          <w:rFonts w:ascii="Times New Roman" w:hAnsi="Times New Roman" w:cs="Times New Roman"/>
          <w:sz w:val="44"/>
          <w:szCs w:val="26"/>
        </w:rPr>
      </w:pPr>
    </w:p>
    <w:p w14:paraId="1DB6A720" w14:textId="033647BD" w:rsidR="00267742" w:rsidRPr="007E1790" w:rsidRDefault="00267742" w:rsidP="00267742">
      <w:pPr>
        <w:jc w:val="center"/>
        <w:rPr>
          <w:rFonts w:ascii="Times New Roman" w:hAnsi="Times New Roman" w:cs="Times New Roman"/>
          <w:sz w:val="44"/>
          <w:szCs w:val="26"/>
        </w:rPr>
      </w:pPr>
    </w:p>
    <w:p w14:paraId="546AD5F8" w14:textId="77777777" w:rsidR="00267742" w:rsidRPr="007E1790" w:rsidRDefault="00267742" w:rsidP="00267742">
      <w:pPr>
        <w:jc w:val="center"/>
        <w:rPr>
          <w:rFonts w:ascii="Times New Roman" w:hAnsi="Times New Roman" w:cs="Times New Roman"/>
          <w:sz w:val="44"/>
          <w:szCs w:val="26"/>
        </w:rPr>
      </w:pPr>
    </w:p>
    <w:p w14:paraId="1996F4E1" w14:textId="77777777" w:rsidR="00267742" w:rsidRPr="007E1790" w:rsidRDefault="00267742" w:rsidP="00267742">
      <w:pPr>
        <w:jc w:val="center"/>
        <w:rPr>
          <w:rFonts w:ascii="Times New Roman" w:hAnsi="Times New Roman" w:cs="Times New Roman"/>
          <w:sz w:val="44"/>
          <w:szCs w:val="26"/>
        </w:rPr>
      </w:pPr>
      <w:r w:rsidRPr="007E1790">
        <w:rPr>
          <w:rFonts w:ascii="Times New Roman" w:hAnsi="Times New Roman" w:cs="Times New Roman"/>
          <w:sz w:val="44"/>
          <w:szCs w:val="26"/>
        </w:rPr>
        <w:t>법제처</w:t>
      </w:r>
    </w:p>
    <w:p w14:paraId="14E78E83" w14:textId="02200307" w:rsidR="00267742" w:rsidRPr="007E1790" w:rsidRDefault="00267742" w:rsidP="00267742">
      <w:pPr>
        <w:jc w:val="center"/>
        <w:rPr>
          <w:rFonts w:ascii="Times New Roman" w:hAnsi="Times New Roman" w:cs="Times New Roman"/>
          <w:sz w:val="44"/>
          <w:szCs w:val="26"/>
        </w:rPr>
      </w:pPr>
      <w:r w:rsidRPr="007E1790">
        <w:rPr>
          <w:rFonts w:ascii="Times New Roman" w:hAnsi="Times New Roman" w:cs="Times New Roman"/>
          <w:sz w:val="44"/>
          <w:szCs w:val="26"/>
        </w:rPr>
        <w:t>김효선</w:t>
      </w:r>
    </w:p>
    <w:p w14:paraId="6073F333" w14:textId="77777777" w:rsidR="00267742" w:rsidRPr="00267742" w:rsidRDefault="00267742" w:rsidP="00267742">
      <w:pPr>
        <w:jc w:val="center"/>
        <w:rPr>
          <w:rFonts w:ascii="Times New Roman" w:hAnsi="Times New Roman" w:cs="Times New Roman"/>
          <w:sz w:val="26"/>
          <w:szCs w:val="26"/>
        </w:rPr>
      </w:pPr>
    </w:p>
    <w:p w14:paraId="23A51FCA" w14:textId="77777777" w:rsidR="00267742" w:rsidRDefault="00267742" w:rsidP="00267742">
      <w:pPr>
        <w:jc w:val="center"/>
        <w:rPr>
          <w:rFonts w:ascii="Times New Roman" w:hAnsi="Times New Roman" w:cs="Times New Roman"/>
          <w:sz w:val="26"/>
          <w:szCs w:val="26"/>
        </w:rPr>
      </w:pPr>
    </w:p>
    <w:p w14:paraId="7F49885F" w14:textId="77777777" w:rsidR="00715D89" w:rsidRPr="00715D89" w:rsidRDefault="00715D89" w:rsidP="00715D89">
      <w:pPr>
        <w:jc w:val="center"/>
        <w:rPr>
          <w:rFonts w:ascii="Times New Roman" w:hAnsi="Times New Roman" w:cs="Times New Roman"/>
          <w:sz w:val="48"/>
          <w:szCs w:val="26"/>
        </w:rPr>
      </w:pPr>
      <w:bookmarkStart w:id="0" w:name="_Hlk522140019"/>
      <w:r w:rsidRPr="00715D89">
        <w:rPr>
          <w:rFonts w:ascii="Times New Roman" w:hAnsi="Times New Roman" w:cs="Times New Roman" w:hint="eastAsia"/>
          <w:sz w:val="48"/>
          <w:szCs w:val="26"/>
        </w:rPr>
        <w:t>국외훈련개요</w:t>
      </w:r>
    </w:p>
    <w:p w14:paraId="43019C8C" w14:textId="1B5B1939" w:rsidR="00715D89" w:rsidRDefault="00715D89" w:rsidP="00715D89">
      <w:pPr>
        <w:rPr>
          <w:rFonts w:ascii="Times New Roman" w:hAnsi="Times New Roman" w:cs="Times New Roman"/>
          <w:sz w:val="40"/>
          <w:szCs w:val="26"/>
        </w:rPr>
      </w:pPr>
    </w:p>
    <w:p w14:paraId="10E35CED" w14:textId="7D70B2EE" w:rsidR="00715D89" w:rsidRDefault="00715D89" w:rsidP="00715D89">
      <w:pPr>
        <w:rPr>
          <w:rFonts w:ascii="Times New Roman" w:hAnsi="Times New Roman" w:cs="Times New Roman"/>
          <w:sz w:val="40"/>
          <w:szCs w:val="26"/>
        </w:rPr>
      </w:pPr>
    </w:p>
    <w:p w14:paraId="678D558F" w14:textId="34184DF4" w:rsidR="00715D89" w:rsidRDefault="00715D89" w:rsidP="00715D89">
      <w:pPr>
        <w:rPr>
          <w:rFonts w:ascii="Times New Roman" w:hAnsi="Times New Roman" w:cs="Times New Roman"/>
          <w:sz w:val="40"/>
          <w:szCs w:val="26"/>
        </w:rPr>
      </w:pPr>
    </w:p>
    <w:p w14:paraId="23735EE9" w14:textId="1C0CDF3F" w:rsidR="00715D89" w:rsidRDefault="00715D89" w:rsidP="00715D89">
      <w:pPr>
        <w:rPr>
          <w:rFonts w:ascii="Times New Roman" w:hAnsi="Times New Roman" w:cs="Times New Roman"/>
          <w:sz w:val="40"/>
          <w:szCs w:val="26"/>
        </w:rPr>
      </w:pPr>
    </w:p>
    <w:p w14:paraId="34DD3C1E" w14:textId="77777777" w:rsidR="00715D89" w:rsidRPr="00715D89" w:rsidRDefault="00715D89" w:rsidP="00715D89">
      <w:pPr>
        <w:rPr>
          <w:rFonts w:ascii="Times New Roman" w:hAnsi="Times New Roman" w:cs="Times New Roman" w:hint="eastAsia"/>
          <w:sz w:val="40"/>
          <w:szCs w:val="26"/>
        </w:rPr>
      </w:pPr>
    </w:p>
    <w:p w14:paraId="2FDF8066" w14:textId="166291DB" w:rsidR="00715D89" w:rsidRPr="00715D89" w:rsidRDefault="00715D89" w:rsidP="00715D89">
      <w:pPr>
        <w:rPr>
          <w:rFonts w:ascii="Times New Roman" w:hAnsi="Times New Roman" w:cs="Times New Roman"/>
          <w:sz w:val="40"/>
          <w:szCs w:val="26"/>
        </w:rPr>
      </w:pPr>
      <w:r w:rsidRPr="00715D89">
        <w:rPr>
          <w:rFonts w:ascii="Times New Roman" w:hAnsi="Times New Roman" w:cs="Times New Roman"/>
          <w:sz w:val="40"/>
          <w:szCs w:val="26"/>
        </w:rPr>
        <w:t xml:space="preserve"> 1. </w:t>
      </w:r>
      <w:proofErr w:type="spellStart"/>
      <w:proofErr w:type="gramStart"/>
      <w:r w:rsidRPr="00715D89">
        <w:rPr>
          <w:rFonts w:ascii="Times New Roman" w:hAnsi="Times New Roman" w:cs="Times New Roman"/>
          <w:sz w:val="40"/>
          <w:szCs w:val="26"/>
        </w:rPr>
        <w:t>훈련국</w:t>
      </w:r>
      <w:proofErr w:type="spellEnd"/>
      <w:r w:rsidRPr="00715D89">
        <w:rPr>
          <w:rFonts w:ascii="Times New Roman" w:hAnsi="Times New Roman" w:cs="Times New Roman"/>
          <w:sz w:val="40"/>
          <w:szCs w:val="26"/>
        </w:rPr>
        <w:t xml:space="preserve"> :</w:t>
      </w:r>
      <w:proofErr w:type="gramEnd"/>
      <w:r>
        <w:rPr>
          <w:rFonts w:ascii="Times New Roman" w:hAnsi="Times New Roman" w:cs="Times New Roman"/>
          <w:sz w:val="40"/>
          <w:szCs w:val="26"/>
        </w:rPr>
        <w:t xml:space="preserve"> </w:t>
      </w:r>
      <w:r>
        <w:rPr>
          <w:rFonts w:ascii="Times New Roman" w:hAnsi="Times New Roman" w:cs="Times New Roman" w:hint="eastAsia"/>
          <w:sz w:val="40"/>
          <w:szCs w:val="26"/>
        </w:rPr>
        <w:t>영국</w:t>
      </w:r>
    </w:p>
    <w:p w14:paraId="2C4DA538" w14:textId="77777777" w:rsidR="00715D89" w:rsidRPr="00715D89" w:rsidRDefault="00715D89" w:rsidP="00715D89">
      <w:pPr>
        <w:rPr>
          <w:rFonts w:ascii="Times New Roman" w:hAnsi="Times New Roman" w:cs="Times New Roman"/>
          <w:sz w:val="40"/>
          <w:szCs w:val="26"/>
        </w:rPr>
      </w:pPr>
    </w:p>
    <w:p w14:paraId="39C818DB" w14:textId="77777777" w:rsidR="00715D89" w:rsidRPr="00715D89" w:rsidRDefault="00715D89" w:rsidP="00715D89">
      <w:pPr>
        <w:rPr>
          <w:rFonts w:ascii="Times New Roman" w:hAnsi="Times New Roman" w:cs="Times New Roman"/>
          <w:sz w:val="40"/>
          <w:szCs w:val="26"/>
        </w:rPr>
      </w:pPr>
    </w:p>
    <w:p w14:paraId="4C6E5649" w14:textId="6502B8D3" w:rsidR="00715D89" w:rsidRPr="00715D89" w:rsidRDefault="00715D89" w:rsidP="00715D89">
      <w:pPr>
        <w:rPr>
          <w:rFonts w:ascii="Times New Roman" w:hAnsi="Times New Roman" w:cs="Times New Roman"/>
          <w:sz w:val="40"/>
          <w:szCs w:val="26"/>
        </w:rPr>
      </w:pPr>
      <w:r w:rsidRPr="00715D89">
        <w:rPr>
          <w:rFonts w:ascii="Times New Roman" w:hAnsi="Times New Roman" w:cs="Times New Roman"/>
          <w:sz w:val="40"/>
          <w:szCs w:val="26"/>
        </w:rPr>
        <w:t xml:space="preserve"> 2. </w:t>
      </w:r>
      <w:proofErr w:type="gramStart"/>
      <w:r w:rsidRPr="00715D89">
        <w:rPr>
          <w:rFonts w:ascii="Times New Roman" w:hAnsi="Times New Roman" w:cs="Times New Roman"/>
          <w:sz w:val="40"/>
          <w:szCs w:val="26"/>
        </w:rPr>
        <w:t>훈련기관명</w:t>
      </w:r>
      <w:r w:rsidRPr="00715D89">
        <w:rPr>
          <w:rFonts w:ascii="Times New Roman" w:hAnsi="Times New Roman" w:cs="Times New Roman"/>
          <w:sz w:val="40"/>
          <w:szCs w:val="26"/>
        </w:rPr>
        <w:t xml:space="preserve"> :</w:t>
      </w:r>
      <w:proofErr w:type="gramEnd"/>
      <w:r>
        <w:rPr>
          <w:rFonts w:ascii="Times New Roman" w:hAnsi="Times New Roman" w:cs="Times New Roman"/>
          <w:sz w:val="40"/>
          <w:szCs w:val="26"/>
        </w:rPr>
        <w:t xml:space="preserve"> </w:t>
      </w:r>
      <w:r>
        <w:rPr>
          <w:rFonts w:ascii="Times New Roman" w:hAnsi="Times New Roman" w:cs="Times New Roman" w:hint="eastAsia"/>
          <w:sz w:val="40"/>
          <w:szCs w:val="26"/>
        </w:rPr>
        <w:t>S</w:t>
      </w:r>
      <w:r>
        <w:rPr>
          <w:rFonts w:ascii="Times New Roman" w:hAnsi="Times New Roman" w:cs="Times New Roman"/>
          <w:sz w:val="40"/>
          <w:szCs w:val="26"/>
        </w:rPr>
        <w:t>OAS</w:t>
      </w:r>
    </w:p>
    <w:p w14:paraId="05E4091D" w14:textId="77777777" w:rsidR="00715D89" w:rsidRPr="00715D89" w:rsidRDefault="00715D89" w:rsidP="00715D89">
      <w:pPr>
        <w:rPr>
          <w:rFonts w:ascii="Times New Roman" w:hAnsi="Times New Roman" w:cs="Times New Roman"/>
          <w:sz w:val="40"/>
          <w:szCs w:val="26"/>
        </w:rPr>
      </w:pPr>
    </w:p>
    <w:p w14:paraId="183E4566" w14:textId="77777777" w:rsidR="00715D89" w:rsidRPr="00715D89" w:rsidRDefault="00715D89" w:rsidP="00715D89">
      <w:pPr>
        <w:rPr>
          <w:rFonts w:ascii="Times New Roman" w:hAnsi="Times New Roman" w:cs="Times New Roman"/>
          <w:sz w:val="40"/>
          <w:szCs w:val="26"/>
        </w:rPr>
      </w:pPr>
    </w:p>
    <w:p w14:paraId="27F925CF" w14:textId="45629C49" w:rsidR="00715D89" w:rsidRPr="00715D89" w:rsidRDefault="00715D89" w:rsidP="00715D89">
      <w:pPr>
        <w:rPr>
          <w:rFonts w:ascii="Times New Roman" w:hAnsi="Times New Roman" w:cs="Times New Roman"/>
          <w:sz w:val="40"/>
          <w:szCs w:val="26"/>
        </w:rPr>
      </w:pPr>
      <w:r w:rsidRPr="00715D89">
        <w:rPr>
          <w:rFonts w:ascii="Times New Roman" w:hAnsi="Times New Roman" w:cs="Times New Roman"/>
          <w:sz w:val="40"/>
          <w:szCs w:val="26"/>
        </w:rPr>
        <w:t xml:space="preserve"> 3. </w:t>
      </w:r>
      <w:proofErr w:type="gramStart"/>
      <w:r w:rsidRPr="00715D89">
        <w:rPr>
          <w:rFonts w:ascii="Times New Roman" w:hAnsi="Times New Roman" w:cs="Times New Roman"/>
          <w:sz w:val="40"/>
          <w:szCs w:val="26"/>
        </w:rPr>
        <w:t>훈련분야</w:t>
      </w:r>
      <w:r w:rsidRPr="00715D89">
        <w:rPr>
          <w:rFonts w:ascii="Times New Roman" w:hAnsi="Times New Roman" w:cs="Times New Roman"/>
          <w:sz w:val="40"/>
          <w:szCs w:val="26"/>
        </w:rPr>
        <w:t xml:space="preserve"> :</w:t>
      </w:r>
      <w:proofErr w:type="gramEnd"/>
      <w:r>
        <w:rPr>
          <w:rFonts w:ascii="Times New Roman" w:hAnsi="Times New Roman" w:cs="Times New Roman"/>
          <w:sz w:val="40"/>
          <w:szCs w:val="26"/>
        </w:rPr>
        <w:t xml:space="preserve"> </w:t>
      </w:r>
      <w:r>
        <w:rPr>
          <w:rFonts w:ascii="Times New Roman" w:hAnsi="Times New Roman" w:cs="Times New Roman" w:hint="eastAsia"/>
          <w:sz w:val="40"/>
          <w:szCs w:val="26"/>
        </w:rPr>
        <w:t>법제개선</w:t>
      </w:r>
    </w:p>
    <w:p w14:paraId="1C2C422E" w14:textId="77777777" w:rsidR="00715D89" w:rsidRPr="00715D89" w:rsidRDefault="00715D89" w:rsidP="00715D89">
      <w:pPr>
        <w:rPr>
          <w:rFonts w:ascii="Times New Roman" w:hAnsi="Times New Roman" w:cs="Times New Roman"/>
          <w:sz w:val="40"/>
          <w:szCs w:val="26"/>
        </w:rPr>
      </w:pPr>
    </w:p>
    <w:p w14:paraId="68F3993A" w14:textId="77777777" w:rsidR="00715D89" w:rsidRPr="00715D89" w:rsidRDefault="00715D89" w:rsidP="00715D89">
      <w:pPr>
        <w:rPr>
          <w:rFonts w:ascii="Times New Roman" w:hAnsi="Times New Roman" w:cs="Times New Roman"/>
          <w:sz w:val="40"/>
          <w:szCs w:val="26"/>
        </w:rPr>
      </w:pPr>
    </w:p>
    <w:p w14:paraId="2E8E68C5" w14:textId="530253F1" w:rsidR="00715D89" w:rsidRPr="00715D89" w:rsidRDefault="00715D89" w:rsidP="00715D89">
      <w:pPr>
        <w:rPr>
          <w:rFonts w:ascii="Times New Roman" w:hAnsi="Times New Roman" w:cs="Times New Roman"/>
          <w:sz w:val="40"/>
          <w:szCs w:val="26"/>
        </w:rPr>
      </w:pPr>
      <w:r w:rsidRPr="00715D89">
        <w:rPr>
          <w:rFonts w:ascii="Times New Roman" w:hAnsi="Times New Roman" w:cs="Times New Roman"/>
          <w:sz w:val="40"/>
          <w:szCs w:val="26"/>
        </w:rPr>
        <w:t xml:space="preserve"> 4. </w:t>
      </w:r>
      <w:proofErr w:type="gramStart"/>
      <w:r w:rsidRPr="00715D89">
        <w:rPr>
          <w:rFonts w:ascii="Times New Roman" w:hAnsi="Times New Roman" w:cs="Times New Roman"/>
          <w:sz w:val="40"/>
          <w:szCs w:val="26"/>
        </w:rPr>
        <w:t>훈련기간</w:t>
      </w:r>
      <w:r w:rsidRPr="00715D89">
        <w:rPr>
          <w:rFonts w:ascii="Times New Roman" w:hAnsi="Times New Roman" w:cs="Times New Roman"/>
          <w:sz w:val="40"/>
          <w:szCs w:val="26"/>
        </w:rPr>
        <w:t xml:space="preserve"> :</w:t>
      </w:r>
      <w:proofErr w:type="gramEnd"/>
      <w:r>
        <w:rPr>
          <w:rFonts w:ascii="Times New Roman" w:hAnsi="Times New Roman" w:cs="Times New Roman"/>
          <w:sz w:val="40"/>
          <w:szCs w:val="26"/>
        </w:rPr>
        <w:t xml:space="preserve"> 2016. 7. 31. – 2018. 7. 15.</w:t>
      </w:r>
    </w:p>
    <w:p w14:paraId="0CF609AA" w14:textId="77777777" w:rsidR="00715D89" w:rsidRDefault="00715D89" w:rsidP="004B467C">
      <w:pPr>
        <w:rPr>
          <w:rFonts w:ascii="Times New Roman" w:hAnsi="Times New Roman" w:cs="Times New Roman"/>
          <w:sz w:val="26"/>
          <w:szCs w:val="26"/>
        </w:rPr>
      </w:pPr>
    </w:p>
    <w:p w14:paraId="29A28E6C" w14:textId="585F339A" w:rsidR="00715D89" w:rsidRDefault="00715D89" w:rsidP="004B467C">
      <w:pPr>
        <w:rPr>
          <w:rFonts w:ascii="Times New Roman" w:hAnsi="Times New Roman" w:cs="Times New Roman"/>
          <w:sz w:val="26"/>
          <w:szCs w:val="26"/>
        </w:rPr>
      </w:pPr>
    </w:p>
    <w:p w14:paraId="33D0572C" w14:textId="70A2C8BA" w:rsidR="002E37BF" w:rsidRPr="00257ACB" w:rsidRDefault="00BC0700" w:rsidP="004B467C">
      <w:pPr>
        <w:rPr>
          <w:rFonts w:ascii="Times New Roman" w:hAnsi="Times New Roman" w:cs="Times New Roman"/>
          <w:sz w:val="26"/>
          <w:szCs w:val="26"/>
        </w:rPr>
      </w:pPr>
      <w:bookmarkStart w:id="1" w:name="_GoBack"/>
      <w:bookmarkEnd w:id="1"/>
      <w:r w:rsidRPr="00257ACB">
        <w:rPr>
          <w:rFonts w:ascii="Times New Roman" w:hAnsi="Times New Roman" w:cs="Times New Roman"/>
          <w:sz w:val="26"/>
          <w:szCs w:val="26"/>
        </w:rPr>
        <w:lastRenderedPageBreak/>
        <w:t xml:space="preserve">Major </w:t>
      </w:r>
      <w:proofErr w:type="spellStart"/>
      <w:r w:rsidRPr="00257ACB">
        <w:rPr>
          <w:rFonts w:ascii="Times New Roman" w:hAnsi="Times New Roman" w:cs="Times New Roman"/>
          <w:sz w:val="26"/>
          <w:szCs w:val="26"/>
        </w:rPr>
        <w:t>labour</w:t>
      </w:r>
      <w:proofErr w:type="spellEnd"/>
      <w:r w:rsidRPr="00257ACB">
        <w:rPr>
          <w:rFonts w:ascii="Times New Roman" w:hAnsi="Times New Roman" w:cs="Times New Roman"/>
          <w:sz w:val="26"/>
          <w:szCs w:val="26"/>
        </w:rPr>
        <w:t xml:space="preserve"> market changes and Policy implications</w:t>
      </w:r>
      <w:r w:rsidR="00F260BC" w:rsidRPr="00257ACB">
        <w:rPr>
          <w:rFonts w:ascii="Times New Roman" w:hAnsi="Times New Roman" w:cs="Times New Roman"/>
          <w:sz w:val="26"/>
          <w:szCs w:val="26"/>
        </w:rPr>
        <w:t xml:space="preserve"> for the improvement of </w:t>
      </w:r>
      <w:r w:rsidRPr="00257ACB">
        <w:rPr>
          <w:rFonts w:ascii="Times New Roman" w:hAnsi="Times New Roman" w:cs="Times New Roman"/>
          <w:sz w:val="26"/>
          <w:szCs w:val="26"/>
        </w:rPr>
        <w:t xml:space="preserve">fairness and </w:t>
      </w:r>
      <w:r w:rsidR="00F260BC" w:rsidRPr="00257ACB">
        <w:rPr>
          <w:rFonts w:ascii="Times New Roman" w:hAnsi="Times New Roman" w:cs="Times New Roman"/>
          <w:sz w:val="26"/>
          <w:szCs w:val="26"/>
        </w:rPr>
        <w:t xml:space="preserve">equality </w:t>
      </w:r>
      <w:r w:rsidR="00C726BB">
        <w:rPr>
          <w:rFonts w:ascii="Times New Roman" w:hAnsi="Times New Roman" w:cs="Times New Roman"/>
          <w:sz w:val="26"/>
          <w:szCs w:val="26"/>
        </w:rPr>
        <w:t xml:space="preserve">focused on the </w:t>
      </w:r>
      <w:proofErr w:type="spellStart"/>
      <w:r w:rsidR="00C726BB">
        <w:rPr>
          <w:rFonts w:ascii="Times New Roman" w:hAnsi="Times New Roman" w:cs="Times New Roman"/>
          <w:sz w:val="26"/>
          <w:szCs w:val="26"/>
        </w:rPr>
        <w:t>labour</w:t>
      </w:r>
      <w:proofErr w:type="spellEnd"/>
      <w:r w:rsidR="00C726BB">
        <w:rPr>
          <w:rFonts w:ascii="Times New Roman" w:hAnsi="Times New Roman" w:cs="Times New Roman"/>
          <w:sz w:val="26"/>
          <w:szCs w:val="26"/>
        </w:rPr>
        <w:t xml:space="preserve"> market</w:t>
      </w:r>
    </w:p>
    <w:bookmarkEnd w:id="0"/>
    <w:p w14:paraId="0D34A878" w14:textId="77777777" w:rsidR="00F260BC" w:rsidRPr="00257ACB" w:rsidRDefault="00F260BC" w:rsidP="004B467C">
      <w:pPr>
        <w:rPr>
          <w:rFonts w:ascii="Times New Roman" w:hAnsi="Times New Roman" w:cs="Times New Roman"/>
          <w:b/>
          <w:sz w:val="26"/>
          <w:szCs w:val="26"/>
          <w:u w:val="single"/>
        </w:rPr>
      </w:pPr>
    </w:p>
    <w:p w14:paraId="5AACFCDD" w14:textId="2CBDFA79" w:rsidR="004B467C" w:rsidRPr="00257ACB" w:rsidRDefault="00CB7094" w:rsidP="006D234D">
      <w:pPr>
        <w:pStyle w:val="a3"/>
        <w:numPr>
          <w:ilvl w:val="0"/>
          <w:numId w:val="7"/>
        </w:numPr>
        <w:ind w:leftChars="0"/>
        <w:rPr>
          <w:rFonts w:ascii="Times New Roman" w:hAnsi="Times New Roman" w:cs="Times New Roman"/>
          <w:sz w:val="26"/>
          <w:szCs w:val="26"/>
        </w:rPr>
      </w:pPr>
      <w:r w:rsidRPr="00257ACB">
        <w:rPr>
          <w:rFonts w:ascii="Times New Roman" w:hAnsi="Times New Roman" w:cs="Times New Roman"/>
          <w:sz w:val="26"/>
          <w:szCs w:val="26"/>
        </w:rPr>
        <w:t xml:space="preserve">The current </w:t>
      </w:r>
      <w:proofErr w:type="spellStart"/>
      <w:r w:rsidRPr="00257ACB">
        <w:rPr>
          <w:rFonts w:ascii="Times New Roman" w:hAnsi="Times New Roman" w:cs="Times New Roman"/>
          <w:sz w:val="26"/>
          <w:szCs w:val="26"/>
        </w:rPr>
        <w:t>labour</w:t>
      </w:r>
      <w:proofErr w:type="spellEnd"/>
      <w:r w:rsidRPr="00257ACB">
        <w:rPr>
          <w:rFonts w:ascii="Times New Roman" w:hAnsi="Times New Roman" w:cs="Times New Roman"/>
          <w:sz w:val="26"/>
          <w:szCs w:val="26"/>
        </w:rPr>
        <w:t xml:space="preserve"> market</w:t>
      </w:r>
      <w:r w:rsidR="00DA0EF8" w:rsidRPr="00257ACB">
        <w:rPr>
          <w:rFonts w:ascii="Times New Roman" w:hAnsi="Times New Roman" w:cs="Times New Roman"/>
          <w:sz w:val="26"/>
          <w:szCs w:val="26"/>
        </w:rPr>
        <w:t xml:space="preserve"> figures and the</w:t>
      </w:r>
      <w:r w:rsidRPr="00257ACB">
        <w:rPr>
          <w:rFonts w:ascii="Times New Roman" w:hAnsi="Times New Roman" w:cs="Times New Roman"/>
          <w:sz w:val="26"/>
          <w:szCs w:val="26"/>
        </w:rPr>
        <w:t xml:space="preserve"> </w:t>
      </w:r>
      <w:r w:rsidR="00572D9F" w:rsidRPr="00257ACB">
        <w:rPr>
          <w:rFonts w:ascii="Times New Roman" w:hAnsi="Times New Roman" w:cs="Times New Roman"/>
          <w:sz w:val="26"/>
          <w:szCs w:val="26"/>
        </w:rPr>
        <w:t>analysis in terms of employment rate, income and productivity</w:t>
      </w:r>
      <w:r w:rsidR="00DA0EF8" w:rsidRPr="00257ACB">
        <w:rPr>
          <w:rFonts w:ascii="Times New Roman" w:hAnsi="Times New Roman" w:cs="Times New Roman"/>
          <w:sz w:val="26"/>
          <w:szCs w:val="26"/>
        </w:rPr>
        <w:t xml:space="preserve"> of the UK </w:t>
      </w:r>
    </w:p>
    <w:p w14:paraId="741D8D2D" w14:textId="77777777" w:rsidR="00CD2A51" w:rsidRPr="00257ACB" w:rsidRDefault="00CD2A51" w:rsidP="00CD2A51">
      <w:pPr>
        <w:pStyle w:val="a3"/>
        <w:ind w:leftChars="0" w:left="1200"/>
        <w:rPr>
          <w:rFonts w:ascii="Times New Roman" w:hAnsi="Times New Roman" w:cs="Times New Roman"/>
          <w:sz w:val="26"/>
          <w:szCs w:val="26"/>
        </w:rPr>
      </w:pPr>
    </w:p>
    <w:p w14:paraId="396D87DF" w14:textId="6C3FF9B1" w:rsidR="009D6140" w:rsidRPr="00257ACB" w:rsidRDefault="007351CB" w:rsidP="000C0F13">
      <w:pPr>
        <w:pStyle w:val="a3"/>
        <w:numPr>
          <w:ilvl w:val="0"/>
          <w:numId w:val="14"/>
        </w:numPr>
        <w:ind w:leftChars="0"/>
        <w:rPr>
          <w:rFonts w:ascii="Times New Roman" w:hAnsi="Times New Roman" w:cs="Times New Roman"/>
          <w:sz w:val="26"/>
          <w:szCs w:val="26"/>
        </w:rPr>
      </w:pPr>
      <w:r w:rsidRPr="00257ACB">
        <w:rPr>
          <w:rFonts w:ascii="Times New Roman" w:hAnsi="Times New Roman" w:cs="Times New Roman"/>
          <w:sz w:val="26"/>
          <w:szCs w:val="26"/>
        </w:rPr>
        <w:t xml:space="preserve">The </w:t>
      </w:r>
      <w:r w:rsidR="00A42260" w:rsidRPr="00257ACB">
        <w:rPr>
          <w:rFonts w:ascii="Times New Roman" w:hAnsi="Times New Roman" w:cs="Times New Roman"/>
          <w:sz w:val="26"/>
          <w:szCs w:val="26"/>
        </w:rPr>
        <w:t xml:space="preserve">latest </w:t>
      </w:r>
      <w:r w:rsidRPr="00257ACB">
        <w:rPr>
          <w:rFonts w:ascii="Times New Roman" w:hAnsi="Times New Roman" w:cs="Times New Roman"/>
          <w:sz w:val="26"/>
          <w:szCs w:val="26"/>
        </w:rPr>
        <w:t xml:space="preserve">UK </w:t>
      </w:r>
      <w:proofErr w:type="spellStart"/>
      <w:r w:rsidRPr="00257ACB">
        <w:rPr>
          <w:rFonts w:ascii="Times New Roman" w:hAnsi="Times New Roman" w:cs="Times New Roman"/>
          <w:sz w:val="26"/>
          <w:szCs w:val="26"/>
        </w:rPr>
        <w:t>labour</w:t>
      </w:r>
      <w:proofErr w:type="spellEnd"/>
      <w:r w:rsidRPr="00257ACB">
        <w:rPr>
          <w:rFonts w:ascii="Times New Roman" w:hAnsi="Times New Roman" w:cs="Times New Roman"/>
          <w:sz w:val="26"/>
          <w:szCs w:val="26"/>
        </w:rPr>
        <w:t xml:space="preserve"> market figures</w:t>
      </w:r>
      <w:r w:rsidR="008342F1" w:rsidRPr="00257ACB">
        <w:rPr>
          <w:rFonts w:ascii="Times New Roman" w:hAnsi="Times New Roman" w:cs="Times New Roman"/>
          <w:sz w:val="26"/>
          <w:szCs w:val="26"/>
        </w:rPr>
        <w:t xml:space="preserve"> and analysis</w:t>
      </w:r>
      <w:r w:rsidR="00A42260" w:rsidRPr="00257ACB">
        <w:rPr>
          <w:rFonts w:ascii="Times New Roman" w:hAnsi="Times New Roman" w:cs="Times New Roman"/>
          <w:sz w:val="26"/>
          <w:szCs w:val="26"/>
        </w:rPr>
        <w:t xml:space="preserve"> (October to December 2017)</w:t>
      </w:r>
    </w:p>
    <w:p w14:paraId="3A024AD5" w14:textId="07119036" w:rsidR="00717C64" w:rsidRPr="00257ACB" w:rsidRDefault="003D50A8" w:rsidP="009D6140">
      <w:pPr>
        <w:pStyle w:val="a3"/>
        <w:rPr>
          <w:rFonts w:ascii="Times New Roman" w:hAnsi="Times New Roman" w:cs="Times New Roman"/>
          <w:sz w:val="26"/>
          <w:szCs w:val="26"/>
        </w:rPr>
      </w:pPr>
      <w:r w:rsidRPr="00257ACB">
        <w:rPr>
          <w:rFonts w:ascii="Times New Roman" w:hAnsi="Times New Roman" w:cs="Times New Roman"/>
          <w:sz w:val="26"/>
          <w:szCs w:val="26"/>
        </w:rPr>
        <w:t>The</w:t>
      </w:r>
      <w:r w:rsidR="008D06B3" w:rsidRPr="00257ACB">
        <w:rPr>
          <w:rFonts w:ascii="Times New Roman" w:hAnsi="Times New Roman" w:cs="Times New Roman"/>
          <w:sz w:val="26"/>
          <w:szCs w:val="26"/>
        </w:rPr>
        <w:t xml:space="preserve"> UK </w:t>
      </w:r>
      <w:proofErr w:type="spellStart"/>
      <w:r w:rsidR="008D06B3" w:rsidRPr="00257ACB">
        <w:rPr>
          <w:rFonts w:ascii="Times New Roman" w:hAnsi="Times New Roman" w:cs="Times New Roman"/>
          <w:sz w:val="26"/>
          <w:szCs w:val="26"/>
        </w:rPr>
        <w:t>labour</w:t>
      </w:r>
      <w:proofErr w:type="spellEnd"/>
      <w:r w:rsidR="008D06B3" w:rsidRPr="00257ACB">
        <w:rPr>
          <w:rFonts w:ascii="Times New Roman" w:hAnsi="Times New Roman" w:cs="Times New Roman"/>
          <w:sz w:val="26"/>
          <w:szCs w:val="26"/>
        </w:rPr>
        <w:t xml:space="preserve"> market has shown</w:t>
      </w:r>
      <w:r w:rsidR="00591DF1" w:rsidRPr="00257ACB">
        <w:rPr>
          <w:rFonts w:ascii="Times New Roman" w:hAnsi="Times New Roman" w:cs="Times New Roman"/>
          <w:sz w:val="26"/>
          <w:szCs w:val="26"/>
        </w:rPr>
        <w:t xml:space="preserve"> some sign of</w:t>
      </w:r>
      <w:r w:rsidR="00091F2D" w:rsidRPr="00257ACB">
        <w:rPr>
          <w:rFonts w:ascii="Times New Roman" w:hAnsi="Times New Roman" w:cs="Times New Roman"/>
          <w:sz w:val="26"/>
          <w:szCs w:val="26"/>
        </w:rPr>
        <w:t xml:space="preserve"> recovery</w:t>
      </w:r>
      <w:r w:rsidR="00591DF1" w:rsidRPr="00257ACB">
        <w:rPr>
          <w:rFonts w:ascii="Times New Roman" w:hAnsi="Times New Roman" w:cs="Times New Roman"/>
          <w:sz w:val="26"/>
          <w:szCs w:val="26"/>
        </w:rPr>
        <w:t xml:space="preserve"> in the employment</w:t>
      </w:r>
      <w:r w:rsidR="00091F2D" w:rsidRPr="00257ACB">
        <w:rPr>
          <w:rFonts w:ascii="Times New Roman" w:hAnsi="Times New Roman" w:cs="Times New Roman"/>
          <w:sz w:val="26"/>
          <w:szCs w:val="26"/>
        </w:rPr>
        <w:t xml:space="preserve">-related indicators </w:t>
      </w:r>
      <w:r w:rsidR="00591DF1" w:rsidRPr="00257ACB">
        <w:rPr>
          <w:rFonts w:ascii="Times New Roman" w:hAnsi="Times New Roman" w:cs="Times New Roman"/>
          <w:sz w:val="26"/>
          <w:szCs w:val="26"/>
        </w:rPr>
        <w:t xml:space="preserve">such as the </w:t>
      </w:r>
      <w:r w:rsidR="00091F2D" w:rsidRPr="00257ACB">
        <w:rPr>
          <w:rFonts w:ascii="Times New Roman" w:hAnsi="Times New Roman" w:cs="Times New Roman"/>
          <w:sz w:val="26"/>
          <w:szCs w:val="26"/>
        </w:rPr>
        <w:t>number of employed or unemployed people and the unemployment rate. T</w:t>
      </w:r>
      <w:r w:rsidR="008D06B3" w:rsidRPr="00257ACB">
        <w:rPr>
          <w:rFonts w:ascii="Times New Roman" w:hAnsi="Times New Roman" w:cs="Times New Roman"/>
          <w:sz w:val="26"/>
          <w:szCs w:val="26"/>
        </w:rPr>
        <w:t>he number of people in work and the number of unemployed people both increased between July to September 2017 and October to December 2017</w:t>
      </w:r>
      <w:r w:rsidR="00091F2D" w:rsidRPr="00257ACB">
        <w:rPr>
          <w:rFonts w:ascii="Times New Roman" w:hAnsi="Times New Roman" w:cs="Times New Roman"/>
          <w:sz w:val="26"/>
          <w:szCs w:val="26"/>
        </w:rPr>
        <w:t>, while the number of people aged from 16 to 64 economically inactive which means not working and not seeking or available to work decreased.</w:t>
      </w:r>
      <w:r w:rsidR="007604FD">
        <w:rPr>
          <w:rStyle w:val="ae"/>
          <w:rFonts w:ascii="Times New Roman" w:hAnsi="Times New Roman" w:cs="Times New Roman"/>
          <w:sz w:val="26"/>
          <w:szCs w:val="26"/>
        </w:rPr>
        <w:footnoteReference w:id="1"/>
      </w:r>
      <w:r w:rsidR="007351CB" w:rsidRPr="00257ACB">
        <w:rPr>
          <w:rFonts w:ascii="Times New Roman" w:hAnsi="Times New Roman" w:cs="Times New Roman"/>
          <w:sz w:val="26"/>
          <w:szCs w:val="26"/>
        </w:rPr>
        <w:t xml:space="preserve"> </w:t>
      </w:r>
    </w:p>
    <w:p w14:paraId="5420E1EC" w14:textId="542D13FD" w:rsidR="00F076A4" w:rsidRPr="00257ACB" w:rsidRDefault="00CD0D1A" w:rsidP="009D6140">
      <w:pPr>
        <w:pStyle w:val="a3"/>
        <w:rPr>
          <w:rFonts w:ascii="Times New Roman" w:hAnsi="Times New Roman" w:cs="Times New Roman"/>
          <w:sz w:val="26"/>
          <w:szCs w:val="26"/>
        </w:rPr>
      </w:pPr>
      <w:r w:rsidRPr="00257ACB">
        <w:rPr>
          <w:rFonts w:ascii="Times New Roman" w:hAnsi="Times New Roman" w:cs="Times New Roman"/>
          <w:sz w:val="26"/>
          <w:szCs w:val="26"/>
        </w:rPr>
        <w:t xml:space="preserve">The number of people in work shows </w:t>
      </w:r>
      <w:r w:rsidR="00BC1D07" w:rsidRPr="00257ACB">
        <w:rPr>
          <w:rFonts w:ascii="Times New Roman" w:hAnsi="Times New Roman" w:cs="Times New Roman"/>
          <w:sz w:val="26"/>
          <w:szCs w:val="26"/>
        </w:rPr>
        <w:t xml:space="preserve">32.15 million people, 88,000 more than </w:t>
      </w:r>
      <w:r w:rsidR="001165E9" w:rsidRPr="00257ACB">
        <w:rPr>
          <w:rFonts w:ascii="Times New Roman" w:hAnsi="Times New Roman" w:cs="Times New Roman"/>
          <w:sz w:val="26"/>
          <w:szCs w:val="26"/>
        </w:rPr>
        <w:t>for July to September 2017 and 321,000 more than for a year earlier</w:t>
      </w:r>
      <w:r w:rsidR="00DD5E8E" w:rsidRPr="00257ACB">
        <w:rPr>
          <w:rFonts w:ascii="Times New Roman" w:hAnsi="Times New Roman" w:cs="Times New Roman"/>
          <w:sz w:val="26"/>
          <w:szCs w:val="26"/>
        </w:rPr>
        <w:t>, while the number of unemployed people (people not in work but seeking and available to work) was shown 1.47million, 46,000 more than for July to September 2017 but 123,000 fewer than for a year earlier</w:t>
      </w:r>
      <w:r w:rsidR="001165E9" w:rsidRPr="00257ACB">
        <w:rPr>
          <w:rFonts w:ascii="Times New Roman" w:hAnsi="Times New Roman" w:cs="Times New Roman"/>
          <w:sz w:val="26"/>
          <w:szCs w:val="26"/>
        </w:rPr>
        <w:t>.</w:t>
      </w:r>
      <w:r w:rsidR="00717C64" w:rsidRPr="00257ACB">
        <w:rPr>
          <w:rFonts w:ascii="Times New Roman" w:hAnsi="Times New Roman" w:cs="Times New Roman"/>
          <w:sz w:val="26"/>
          <w:szCs w:val="26"/>
        </w:rPr>
        <w:t xml:space="preserve"> The employment rate (the proportion of people aged from 16 to 64 who were in work) was</w:t>
      </w:r>
      <w:r w:rsidR="00BC1D07" w:rsidRPr="00257ACB">
        <w:rPr>
          <w:rFonts w:ascii="Times New Roman" w:hAnsi="Times New Roman" w:cs="Times New Roman"/>
          <w:sz w:val="26"/>
          <w:szCs w:val="26"/>
        </w:rPr>
        <w:t xml:space="preserve"> shown as</w:t>
      </w:r>
      <w:r w:rsidR="00717C64" w:rsidRPr="00257ACB">
        <w:rPr>
          <w:rFonts w:ascii="Times New Roman" w:hAnsi="Times New Roman" w:cs="Times New Roman"/>
          <w:sz w:val="26"/>
          <w:szCs w:val="26"/>
        </w:rPr>
        <w:t xml:space="preserve"> 75.2%, higher than for a year earlier (74.6%).</w:t>
      </w:r>
      <w:r w:rsidR="00DD5E8E" w:rsidRPr="00257ACB">
        <w:rPr>
          <w:rFonts w:ascii="Times New Roman" w:hAnsi="Times New Roman" w:cs="Times New Roman"/>
          <w:sz w:val="26"/>
          <w:szCs w:val="26"/>
        </w:rPr>
        <w:t xml:space="preserve"> </w:t>
      </w:r>
      <w:r w:rsidR="006F2E4E">
        <w:rPr>
          <w:rStyle w:val="ae"/>
          <w:rFonts w:ascii="Times New Roman" w:hAnsi="Times New Roman" w:cs="Times New Roman"/>
          <w:sz w:val="26"/>
          <w:szCs w:val="26"/>
        </w:rPr>
        <w:footnoteReference w:id="2"/>
      </w:r>
    </w:p>
    <w:p w14:paraId="7812D3ED" w14:textId="68DD01E3" w:rsidR="003575D5" w:rsidRPr="00257ACB" w:rsidRDefault="00025F3F" w:rsidP="004C6555">
      <w:pPr>
        <w:pStyle w:val="a3"/>
        <w:rPr>
          <w:rFonts w:ascii="Times New Roman" w:hAnsi="Times New Roman" w:cs="Times New Roman"/>
          <w:sz w:val="26"/>
          <w:szCs w:val="26"/>
        </w:rPr>
      </w:pPr>
      <w:r w:rsidRPr="00257ACB">
        <w:rPr>
          <w:rFonts w:ascii="Times New Roman" w:hAnsi="Times New Roman" w:cs="Times New Roman"/>
          <w:sz w:val="26"/>
          <w:szCs w:val="26"/>
        </w:rPr>
        <w:t xml:space="preserve">It can be inferred that the UK </w:t>
      </w:r>
      <w:proofErr w:type="spellStart"/>
      <w:r w:rsidRPr="00257ACB">
        <w:rPr>
          <w:rFonts w:ascii="Times New Roman" w:hAnsi="Times New Roman" w:cs="Times New Roman"/>
          <w:sz w:val="26"/>
          <w:szCs w:val="26"/>
        </w:rPr>
        <w:t>labour</w:t>
      </w:r>
      <w:proofErr w:type="spellEnd"/>
      <w:r w:rsidRPr="00257ACB">
        <w:rPr>
          <w:rFonts w:ascii="Times New Roman" w:hAnsi="Times New Roman" w:cs="Times New Roman"/>
          <w:sz w:val="26"/>
          <w:szCs w:val="26"/>
        </w:rPr>
        <w:t xml:space="preserve"> market has been gradually improving due to some reasons</w:t>
      </w:r>
      <w:r w:rsidR="004C6555" w:rsidRPr="00257ACB">
        <w:rPr>
          <w:rFonts w:ascii="Times New Roman" w:hAnsi="Times New Roman" w:cs="Times New Roman"/>
          <w:sz w:val="26"/>
          <w:szCs w:val="26"/>
        </w:rPr>
        <w:t xml:space="preserve"> judging</w:t>
      </w:r>
      <w:r w:rsidRPr="00257ACB">
        <w:rPr>
          <w:rFonts w:ascii="Times New Roman" w:hAnsi="Times New Roman" w:cs="Times New Roman"/>
          <w:sz w:val="26"/>
          <w:szCs w:val="26"/>
        </w:rPr>
        <w:t xml:space="preserve"> from the recent employment-related statistics mentioned above. </w:t>
      </w:r>
      <w:r w:rsidR="005625F2" w:rsidRPr="00257ACB">
        <w:rPr>
          <w:rFonts w:ascii="Times New Roman" w:hAnsi="Times New Roman" w:cs="Times New Roman"/>
          <w:sz w:val="26"/>
          <w:szCs w:val="26"/>
        </w:rPr>
        <w:t>The increase in the employment rate for women over the last few years has partly attributed to ongoing changes to the State Pension age for women, resulting in fewer women retiring between the ages of 60 and 65.</w:t>
      </w:r>
      <w:r w:rsidR="006F2E4E">
        <w:rPr>
          <w:rStyle w:val="ae"/>
          <w:rFonts w:ascii="Times New Roman" w:hAnsi="Times New Roman" w:cs="Times New Roman"/>
          <w:sz w:val="26"/>
          <w:szCs w:val="26"/>
        </w:rPr>
        <w:footnoteReference w:id="3"/>
      </w:r>
      <w:r w:rsidR="005625F2" w:rsidRPr="00257ACB">
        <w:rPr>
          <w:rFonts w:ascii="Times New Roman" w:hAnsi="Times New Roman" w:cs="Times New Roman"/>
          <w:sz w:val="26"/>
          <w:szCs w:val="26"/>
        </w:rPr>
        <w:t xml:space="preserve"> </w:t>
      </w:r>
      <w:r w:rsidR="0065007C" w:rsidRPr="00257ACB">
        <w:rPr>
          <w:rFonts w:ascii="Times New Roman" w:hAnsi="Times New Roman" w:cs="Times New Roman"/>
          <w:sz w:val="26"/>
          <w:szCs w:val="26"/>
        </w:rPr>
        <w:t>I</w:t>
      </w:r>
      <w:r w:rsidRPr="00257ACB">
        <w:rPr>
          <w:rFonts w:ascii="Times New Roman" w:hAnsi="Times New Roman" w:cs="Times New Roman"/>
          <w:sz w:val="26"/>
          <w:szCs w:val="26"/>
        </w:rPr>
        <w:t xml:space="preserve">t should be noted that </w:t>
      </w:r>
      <w:r w:rsidR="000B0EF3" w:rsidRPr="00257ACB">
        <w:rPr>
          <w:rFonts w:ascii="Times New Roman" w:hAnsi="Times New Roman" w:cs="Times New Roman"/>
          <w:sz w:val="26"/>
          <w:szCs w:val="26"/>
        </w:rPr>
        <w:t>these employment-</w:t>
      </w:r>
      <w:r w:rsidR="000B0EF3" w:rsidRPr="00257ACB">
        <w:rPr>
          <w:rFonts w:ascii="Times New Roman" w:hAnsi="Times New Roman" w:cs="Times New Roman"/>
          <w:sz w:val="26"/>
          <w:szCs w:val="26"/>
        </w:rPr>
        <w:lastRenderedPageBreak/>
        <w:t xml:space="preserve">related statistics </w:t>
      </w:r>
      <w:r w:rsidR="000558F0" w:rsidRPr="00257ACB">
        <w:rPr>
          <w:rFonts w:ascii="Times New Roman" w:hAnsi="Times New Roman" w:cs="Times New Roman"/>
          <w:sz w:val="26"/>
          <w:szCs w:val="26"/>
        </w:rPr>
        <w:t>not only</w:t>
      </w:r>
      <w:r w:rsidR="000B0EF3" w:rsidRPr="00257ACB">
        <w:rPr>
          <w:rFonts w:ascii="Times New Roman" w:hAnsi="Times New Roman" w:cs="Times New Roman"/>
          <w:sz w:val="26"/>
          <w:szCs w:val="26"/>
        </w:rPr>
        <w:t xml:space="preserve"> shows the quantified estimates</w:t>
      </w:r>
      <w:r w:rsidR="00B03107" w:rsidRPr="00257ACB">
        <w:rPr>
          <w:rFonts w:ascii="Times New Roman" w:hAnsi="Times New Roman" w:cs="Times New Roman"/>
          <w:sz w:val="26"/>
          <w:szCs w:val="26"/>
        </w:rPr>
        <w:t xml:space="preserve"> of employment in a whole economy </w:t>
      </w:r>
      <w:r w:rsidR="000558F0" w:rsidRPr="00257ACB">
        <w:rPr>
          <w:rFonts w:ascii="Times New Roman" w:hAnsi="Times New Roman" w:cs="Times New Roman"/>
          <w:sz w:val="26"/>
          <w:szCs w:val="26"/>
        </w:rPr>
        <w:t xml:space="preserve">but also reflect some structural changes or </w:t>
      </w:r>
      <w:r w:rsidR="000B0EF3" w:rsidRPr="00257ACB">
        <w:rPr>
          <w:rFonts w:ascii="Times New Roman" w:hAnsi="Times New Roman" w:cs="Times New Roman"/>
          <w:sz w:val="26"/>
          <w:szCs w:val="26"/>
        </w:rPr>
        <w:t xml:space="preserve">qualitative </w:t>
      </w:r>
      <w:r w:rsidR="00B03107" w:rsidRPr="00257ACB">
        <w:rPr>
          <w:rFonts w:ascii="Times New Roman" w:hAnsi="Times New Roman" w:cs="Times New Roman"/>
          <w:sz w:val="26"/>
          <w:szCs w:val="26"/>
        </w:rPr>
        <w:t>implications</w:t>
      </w:r>
      <w:r w:rsidR="001E50CD">
        <w:rPr>
          <w:rFonts w:ascii="Times New Roman" w:hAnsi="Times New Roman" w:cs="Times New Roman"/>
          <w:sz w:val="26"/>
          <w:szCs w:val="26"/>
        </w:rPr>
        <w:t>.</w:t>
      </w:r>
    </w:p>
    <w:p w14:paraId="498E52C1" w14:textId="6C5D996F" w:rsidR="003575D5" w:rsidRPr="00257ACB" w:rsidRDefault="006E4CCC" w:rsidP="004C6555">
      <w:pPr>
        <w:pStyle w:val="a3"/>
        <w:rPr>
          <w:rFonts w:ascii="Times New Roman" w:hAnsi="Times New Roman" w:cs="Times New Roman"/>
          <w:sz w:val="26"/>
          <w:szCs w:val="26"/>
        </w:rPr>
      </w:pPr>
      <w:r w:rsidRPr="00257ACB">
        <w:rPr>
          <w:rFonts w:ascii="Times New Roman" w:hAnsi="Times New Roman" w:cs="Times New Roman"/>
          <w:sz w:val="26"/>
          <w:szCs w:val="26"/>
        </w:rPr>
        <w:t>It should be mentioned that the</w:t>
      </w:r>
      <w:r w:rsidR="004C6555" w:rsidRPr="00257ACB">
        <w:rPr>
          <w:rFonts w:ascii="Times New Roman" w:hAnsi="Times New Roman" w:cs="Times New Roman"/>
          <w:sz w:val="26"/>
          <w:szCs w:val="26"/>
        </w:rPr>
        <w:t xml:space="preserve"> number of people in employment on ‘zero-hours contracts’ in their main job was 901,000, little changed compared with a year earlier.</w:t>
      </w:r>
      <w:r w:rsidR="006F2E4E">
        <w:rPr>
          <w:rStyle w:val="ae"/>
          <w:rFonts w:ascii="Times New Roman" w:hAnsi="Times New Roman" w:cs="Times New Roman"/>
          <w:sz w:val="26"/>
          <w:szCs w:val="26"/>
        </w:rPr>
        <w:footnoteReference w:id="4"/>
      </w:r>
      <w:r w:rsidRPr="00257ACB">
        <w:rPr>
          <w:rFonts w:ascii="Times New Roman" w:hAnsi="Times New Roman" w:cs="Times New Roman"/>
          <w:sz w:val="26"/>
          <w:szCs w:val="26"/>
        </w:rPr>
        <w:t xml:space="preserve"> In addition, </w:t>
      </w:r>
      <w:r w:rsidR="008C2A6F" w:rsidRPr="00257ACB">
        <w:rPr>
          <w:rFonts w:ascii="Times New Roman" w:hAnsi="Times New Roman" w:cs="Times New Roman"/>
          <w:sz w:val="26"/>
          <w:szCs w:val="26"/>
        </w:rPr>
        <w:t>the latest estimates show that average weekly earnings for employees in the UK in nominal terms (that is, not adjusted for price inflation</w:t>
      </w:r>
      <w:r w:rsidR="00EF42B9" w:rsidRPr="00257ACB">
        <w:rPr>
          <w:rFonts w:ascii="Times New Roman" w:hAnsi="Times New Roman" w:cs="Times New Roman"/>
          <w:sz w:val="26"/>
          <w:szCs w:val="26"/>
        </w:rPr>
        <w:t>)</w:t>
      </w:r>
      <w:r w:rsidR="008C2A6F" w:rsidRPr="00257ACB">
        <w:rPr>
          <w:rFonts w:ascii="Times New Roman" w:hAnsi="Times New Roman" w:cs="Times New Roman"/>
          <w:sz w:val="26"/>
          <w:szCs w:val="26"/>
        </w:rPr>
        <w:t xml:space="preserve"> increased by 2.5%</w:t>
      </w:r>
      <w:r w:rsidR="00EA4552" w:rsidRPr="00257ACB">
        <w:rPr>
          <w:rFonts w:ascii="Times New Roman" w:hAnsi="Times New Roman" w:cs="Times New Roman"/>
          <w:sz w:val="26"/>
          <w:szCs w:val="26"/>
        </w:rPr>
        <w:t>, but in real terms</w:t>
      </w:r>
      <w:r w:rsidR="008C2A6F" w:rsidRPr="00257ACB">
        <w:rPr>
          <w:rFonts w:ascii="Times New Roman" w:hAnsi="Times New Roman" w:cs="Times New Roman"/>
          <w:sz w:val="26"/>
          <w:szCs w:val="26"/>
        </w:rPr>
        <w:t xml:space="preserve"> </w:t>
      </w:r>
      <w:r w:rsidR="00EF42B9" w:rsidRPr="00257ACB">
        <w:rPr>
          <w:rFonts w:ascii="Times New Roman" w:hAnsi="Times New Roman" w:cs="Times New Roman"/>
          <w:sz w:val="26"/>
          <w:szCs w:val="26"/>
        </w:rPr>
        <w:t>(that is, adjusted for price inflation) fell by 0.3% compared with a year earlier.</w:t>
      </w:r>
      <w:r w:rsidR="006F2E4E">
        <w:rPr>
          <w:rStyle w:val="ae"/>
          <w:rFonts w:ascii="Times New Roman" w:hAnsi="Times New Roman" w:cs="Times New Roman"/>
          <w:sz w:val="26"/>
          <w:szCs w:val="26"/>
        </w:rPr>
        <w:footnoteReference w:id="5"/>
      </w:r>
      <w:r w:rsidR="00181E14" w:rsidRPr="00257ACB">
        <w:rPr>
          <w:rFonts w:ascii="Times New Roman" w:hAnsi="Times New Roman" w:cs="Times New Roman"/>
          <w:sz w:val="26"/>
          <w:szCs w:val="26"/>
        </w:rPr>
        <w:t xml:space="preserve"> </w:t>
      </w:r>
      <w:r w:rsidR="00721DC5" w:rsidRPr="00257ACB">
        <w:rPr>
          <w:rFonts w:ascii="Times New Roman" w:hAnsi="Times New Roman" w:cs="Times New Roman"/>
          <w:sz w:val="26"/>
          <w:szCs w:val="26"/>
        </w:rPr>
        <w:t xml:space="preserve">The </w:t>
      </w:r>
      <w:r w:rsidR="00C869F7" w:rsidRPr="00257ACB">
        <w:rPr>
          <w:rFonts w:ascii="Times New Roman" w:hAnsi="Times New Roman" w:cs="Times New Roman"/>
          <w:sz w:val="26"/>
          <w:szCs w:val="26"/>
        </w:rPr>
        <w:t>regular pay increase in nominal terms by 2.5% between October to December 2016 and October to December 2017 is higher than the growth rate between September to November 2016 and September to November 2017 (2.3%).</w:t>
      </w:r>
      <w:r w:rsidR="006F2E4E">
        <w:rPr>
          <w:rStyle w:val="ae"/>
          <w:rFonts w:ascii="Times New Roman" w:hAnsi="Times New Roman" w:cs="Times New Roman"/>
          <w:sz w:val="26"/>
          <w:szCs w:val="26"/>
        </w:rPr>
        <w:footnoteReference w:id="6"/>
      </w:r>
    </w:p>
    <w:p w14:paraId="30655879" w14:textId="5C62C4C5" w:rsidR="003575D5" w:rsidRPr="00257ACB" w:rsidRDefault="00FA0B9E" w:rsidP="004C6555">
      <w:pPr>
        <w:pStyle w:val="a3"/>
        <w:rPr>
          <w:rFonts w:ascii="Times New Roman" w:hAnsi="Times New Roman" w:cs="Times New Roman"/>
          <w:sz w:val="26"/>
          <w:szCs w:val="26"/>
        </w:rPr>
      </w:pPr>
      <w:r w:rsidRPr="00257ACB">
        <w:rPr>
          <w:rFonts w:ascii="Times New Roman" w:hAnsi="Times New Roman" w:cs="Times New Roman"/>
          <w:sz w:val="26"/>
          <w:szCs w:val="26"/>
        </w:rPr>
        <w:t>C</w:t>
      </w:r>
      <w:r w:rsidR="00056818" w:rsidRPr="00257ACB">
        <w:rPr>
          <w:rFonts w:ascii="Times New Roman" w:hAnsi="Times New Roman" w:cs="Times New Roman"/>
          <w:sz w:val="26"/>
          <w:szCs w:val="26"/>
        </w:rPr>
        <w:t>omparing the estimates for employees and self-employed people for October to December 2017 with those for a year earlier, it shows</w:t>
      </w:r>
      <w:r w:rsidR="00181E14" w:rsidRPr="00257ACB">
        <w:rPr>
          <w:rFonts w:ascii="Times New Roman" w:hAnsi="Times New Roman" w:cs="Times New Roman"/>
          <w:sz w:val="26"/>
          <w:szCs w:val="26"/>
        </w:rPr>
        <w:t xml:space="preserve"> that employees increased by 344,000 to 27.16 million (84.5% of all people in work), while self-employed people decreased by 18,000 to 4.78 million (14.9% of all people in work).</w:t>
      </w:r>
      <w:r w:rsidR="006F2E4E">
        <w:rPr>
          <w:rStyle w:val="ae"/>
          <w:rFonts w:ascii="Times New Roman" w:hAnsi="Times New Roman" w:cs="Times New Roman"/>
          <w:sz w:val="26"/>
          <w:szCs w:val="26"/>
        </w:rPr>
        <w:footnoteReference w:id="7"/>
      </w:r>
      <w:r w:rsidR="00D52EFE" w:rsidRPr="00257ACB">
        <w:rPr>
          <w:rFonts w:ascii="Times New Roman" w:hAnsi="Times New Roman" w:cs="Times New Roman"/>
          <w:sz w:val="26"/>
          <w:szCs w:val="26"/>
        </w:rPr>
        <w:t xml:space="preserve"> </w:t>
      </w:r>
    </w:p>
    <w:p w14:paraId="086C6875" w14:textId="0C92F8BD" w:rsidR="003575D5" w:rsidRPr="00257ACB" w:rsidRDefault="00D62036" w:rsidP="004C6555">
      <w:pPr>
        <w:pStyle w:val="a3"/>
        <w:rPr>
          <w:rFonts w:ascii="Times New Roman" w:hAnsi="Times New Roman" w:cs="Times New Roman"/>
          <w:sz w:val="26"/>
          <w:szCs w:val="26"/>
        </w:rPr>
      </w:pPr>
      <w:r w:rsidRPr="00257ACB">
        <w:rPr>
          <w:rFonts w:ascii="Times New Roman" w:hAnsi="Times New Roman" w:cs="Times New Roman"/>
          <w:sz w:val="26"/>
          <w:szCs w:val="26"/>
        </w:rPr>
        <w:t xml:space="preserve">The </w:t>
      </w:r>
      <w:r w:rsidR="00F44E54" w:rsidRPr="00257ACB">
        <w:rPr>
          <w:rFonts w:ascii="Times New Roman" w:hAnsi="Times New Roman" w:cs="Times New Roman"/>
          <w:sz w:val="26"/>
          <w:szCs w:val="26"/>
        </w:rPr>
        <w:t>actual hours worked</w:t>
      </w:r>
      <w:r w:rsidR="005543E6" w:rsidRPr="00257ACB">
        <w:rPr>
          <w:rFonts w:ascii="Times New Roman" w:hAnsi="Times New Roman" w:cs="Times New Roman"/>
          <w:sz w:val="26"/>
          <w:szCs w:val="26"/>
        </w:rPr>
        <w:t xml:space="preserve"> which measures the number of hours worked in the economy, reflect changes in the number of people in employment and the average hours worked by these people.</w:t>
      </w:r>
      <w:r w:rsidRPr="00257ACB">
        <w:rPr>
          <w:rFonts w:ascii="Times New Roman" w:hAnsi="Times New Roman" w:cs="Times New Roman"/>
          <w:sz w:val="26"/>
          <w:szCs w:val="26"/>
        </w:rPr>
        <w:t xml:space="preserve"> E</w:t>
      </w:r>
      <w:r w:rsidR="006C48E5" w:rsidRPr="00257ACB">
        <w:rPr>
          <w:rFonts w:ascii="Times New Roman" w:hAnsi="Times New Roman" w:cs="Times New Roman"/>
          <w:sz w:val="26"/>
          <w:szCs w:val="26"/>
        </w:rPr>
        <w:t>ven with the increased number of people in employment, the number of hours worked in the economy decreased to 31.9 hours per week on average, fewer than for July to September 2017 and for a year earlier.</w:t>
      </w:r>
      <w:r w:rsidR="006F2E4E">
        <w:rPr>
          <w:rStyle w:val="ae"/>
          <w:rFonts w:ascii="Times New Roman" w:hAnsi="Times New Roman" w:cs="Times New Roman"/>
          <w:sz w:val="26"/>
          <w:szCs w:val="26"/>
        </w:rPr>
        <w:footnoteReference w:id="8"/>
      </w:r>
      <w:r w:rsidR="006C48E5" w:rsidRPr="00257ACB">
        <w:rPr>
          <w:rFonts w:ascii="Times New Roman" w:hAnsi="Times New Roman" w:cs="Times New Roman"/>
          <w:sz w:val="26"/>
          <w:szCs w:val="26"/>
        </w:rPr>
        <w:t xml:space="preserve"> </w:t>
      </w:r>
    </w:p>
    <w:p w14:paraId="0FD17A5E" w14:textId="18B5AB26" w:rsidR="009D6140" w:rsidRPr="00257ACB" w:rsidRDefault="003575D5" w:rsidP="004C6555">
      <w:pPr>
        <w:pStyle w:val="a3"/>
        <w:rPr>
          <w:rFonts w:ascii="Times New Roman" w:hAnsi="Times New Roman" w:cs="Times New Roman"/>
          <w:sz w:val="26"/>
          <w:szCs w:val="26"/>
        </w:rPr>
      </w:pPr>
      <w:r w:rsidRPr="00257ACB">
        <w:rPr>
          <w:rFonts w:ascii="Times New Roman" w:hAnsi="Times New Roman" w:cs="Times New Roman"/>
          <w:sz w:val="26"/>
          <w:szCs w:val="26"/>
        </w:rPr>
        <w:lastRenderedPageBreak/>
        <w:t>The workforce jobs which measures the number of filled jobs in the economy</w:t>
      </w:r>
      <w:r w:rsidR="00BD1D82" w:rsidRPr="00257ACB">
        <w:rPr>
          <w:rFonts w:ascii="Times New Roman" w:hAnsi="Times New Roman" w:cs="Times New Roman"/>
          <w:sz w:val="26"/>
          <w:szCs w:val="26"/>
        </w:rPr>
        <w:t>. Looking at the longer-term co</w:t>
      </w:r>
      <w:r w:rsidR="00B6447F" w:rsidRPr="00257ACB">
        <w:rPr>
          <w:rFonts w:ascii="Times New Roman" w:hAnsi="Times New Roman" w:cs="Times New Roman"/>
          <w:sz w:val="26"/>
          <w:szCs w:val="26"/>
        </w:rPr>
        <w:t>m</w:t>
      </w:r>
      <w:r w:rsidR="00BD1D82" w:rsidRPr="00257ACB">
        <w:rPr>
          <w:rFonts w:ascii="Times New Roman" w:hAnsi="Times New Roman" w:cs="Times New Roman"/>
          <w:sz w:val="26"/>
          <w:szCs w:val="26"/>
        </w:rPr>
        <w:t>parison, between June 1978 (when comparable records began) and September 2017, the proportion of jobs accounted for by the manufacturing and mining and quarrying sectors fell from 26.4% to 7.8%, while the proportion of jobs accounted for by the services sector increased from 63.2% to 83.4%.</w:t>
      </w:r>
      <w:r w:rsidR="006F2E4E">
        <w:rPr>
          <w:rStyle w:val="ae"/>
          <w:rFonts w:ascii="Times New Roman" w:hAnsi="Times New Roman" w:cs="Times New Roman"/>
          <w:sz w:val="26"/>
          <w:szCs w:val="26"/>
        </w:rPr>
        <w:footnoteReference w:id="9"/>
      </w:r>
      <w:r w:rsidR="00B6447F" w:rsidRPr="00257ACB">
        <w:rPr>
          <w:rFonts w:ascii="Times New Roman" w:hAnsi="Times New Roman" w:cs="Times New Roman"/>
          <w:sz w:val="26"/>
          <w:szCs w:val="26"/>
        </w:rPr>
        <w:t xml:space="preserve"> </w:t>
      </w:r>
    </w:p>
    <w:p w14:paraId="20190BCC" w14:textId="61D1F942" w:rsidR="00675E04" w:rsidRPr="00257ACB" w:rsidRDefault="00675E04" w:rsidP="004C6555">
      <w:pPr>
        <w:pStyle w:val="a3"/>
        <w:rPr>
          <w:rFonts w:ascii="Times New Roman" w:hAnsi="Times New Roman" w:cs="Times New Roman"/>
          <w:sz w:val="26"/>
          <w:szCs w:val="26"/>
        </w:rPr>
      </w:pPr>
      <w:r w:rsidRPr="00257ACB">
        <w:rPr>
          <w:rFonts w:ascii="Times New Roman" w:hAnsi="Times New Roman" w:cs="Times New Roman"/>
          <w:sz w:val="26"/>
          <w:szCs w:val="26"/>
        </w:rPr>
        <w:t xml:space="preserve">In terms of </w:t>
      </w:r>
      <w:proofErr w:type="spellStart"/>
      <w:r w:rsidRPr="00257ACB">
        <w:rPr>
          <w:rFonts w:ascii="Times New Roman" w:hAnsi="Times New Roman" w:cs="Times New Roman"/>
          <w:sz w:val="26"/>
          <w:szCs w:val="26"/>
        </w:rPr>
        <w:t>labour</w:t>
      </w:r>
      <w:proofErr w:type="spellEnd"/>
      <w:r w:rsidRPr="00257ACB">
        <w:rPr>
          <w:rFonts w:ascii="Times New Roman" w:hAnsi="Times New Roman" w:cs="Times New Roman"/>
          <w:sz w:val="26"/>
          <w:szCs w:val="26"/>
        </w:rPr>
        <w:t xml:space="preserve"> disputes estimates connected with terms and conditions of employment, there were 9,000 working days lost from 16 stoppages and 5,000 people took strike action. These are recognized as the historically low figures when looking at the long-run monthly time series back to the 1930s. Since monthly records began in December 1931</w:t>
      </w:r>
      <w:r w:rsidR="00C6790F" w:rsidRPr="00257ACB">
        <w:rPr>
          <w:rFonts w:ascii="Times New Roman" w:hAnsi="Times New Roman" w:cs="Times New Roman"/>
          <w:sz w:val="26"/>
          <w:szCs w:val="26"/>
        </w:rPr>
        <w:t>, the highest cumulative 12-month estimates for working days lost was 32.2 million for the 12 months to April 1980 and the lowest cumulative 12-month estimates for working days lost was 143,000 for the 12 months to March 2011.</w:t>
      </w:r>
      <w:r w:rsidR="006F2E4E">
        <w:rPr>
          <w:rStyle w:val="ae"/>
          <w:rFonts w:ascii="Times New Roman" w:hAnsi="Times New Roman" w:cs="Times New Roman"/>
          <w:sz w:val="26"/>
          <w:szCs w:val="26"/>
        </w:rPr>
        <w:footnoteReference w:id="10"/>
      </w:r>
      <w:r w:rsidR="004A3CEE" w:rsidRPr="00257ACB">
        <w:rPr>
          <w:rFonts w:ascii="Times New Roman" w:hAnsi="Times New Roman" w:cs="Times New Roman"/>
          <w:sz w:val="26"/>
          <w:szCs w:val="26"/>
        </w:rPr>
        <w:t xml:space="preserve"> On the other hand, </w:t>
      </w:r>
      <w:r w:rsidR="0076538A" w:rsidRPr="00257ACB">
        <w:rPr>
          <w:rFonts w:ascii="Times New Roman" w:hAnsi="Times New Roman" w:cs="Times New Roman"/>
          <w:sz w:val="26"/>
          <w:szCs w:val="26"/>
        </w:rPr>
        <w:t>there were 276,000 working days lost from 79 stoppages and 33,000 people took strike action for the 12 months ending December 2017</w:t>
      </w:r>
      <w:r w:rsidR="00332B7B" w:rsidRPr="00257ACB">
        <w:rPr>
          <w:rFonts w:ascii="Times New Roman" w:hAnsi="Times New Roman" w:cs="Times New Roman"/>
          <w:sz w:val="26"/>
          <w:szCs w:val="26"/>
        </w:rPr>
        <w:t>. While there were 232,000 working days lost in the private</w:t>
      </w:r>
      <w:r w:rsidR="00FC025B" w:rsidRPr="00257ACB">
        <w:rPr>
          <w:rFonts w:ascii="Times New Roman" w:hAnsi="Times New Roman" w:cs="Times New Roman"/>
          <w:sz w:val="26"/>
          <w:szCs w:val="26"/>
        </w:rPr>
        <w:t xml:space="preserve"> in private sector, there were 44,000 working days lost in the public sector, the lowest figure since records for public and private sector strikes began in 1996.</w:t>
      </w:r>
      <w:r w:rsidR="006F2E4E">
        <w:rPr>
          <w:rStyle w:val="ae"/>
          <w:rFonts w:ascii="Times New Roman" w:hAnsi="Times New Roman" w:cs="Times New Roman"/>
          <w:sz w:val="26"/>
          <w:szCs w:val="26"/>
        </w:rPr>
        <w:footnoteReference w:id="11"/>
      </w:r>
      <w:r w:rsidR="00B255D0" w:rsidRPr="00257ACB">
        <w:rPr>
          <w:rFonts w:ascii="Times New Roman" w:hAnsi="Times New Roman" w:cs="Times New Roman"/>
          <w:sz w:val="26"/>
          <w:szCs w:val="26"/>
        </w:rPr>
        <w:t xml:space="preserve"> </w:t>
      </w:r>
      <w:r w:rsidR="00E93510" w:rsidRPr="00257ACB">
        <w:rPr>
          <w:rFonts w:ascii="Times New Roman" w:hAnsi="Times New Roman" w:cs="Times New Roman"/>
          <w:sz w:val="26"/>
          <w:szCs w:val="26"/>
        </w:rPr>
        <w:t>In addition, vacancies are defined as positions for which employers are actively seeking to recruit outside their business or organization. There were 823,000 job vacancies for November 2017 to January 2018.</w:t>
      </w:r>
      <w:r w:rsidR="006F2E4E">
        <w:rPr>
          <w:rStyle w:val="ae"/>
          <w:rFonts w:ascii="Times New Roman" w:hAnsi="Times New Roman" w:cs="Times New Roman"/>
          <w:sz w:val="26"/>
          <w:szCs w:val="26"/>
        </w:rPr>
        <w:footnoteReference w:id="12"/>
      </w:r>
      <w:r w:rsidR="00E93510" w:rsidRPr="00257ACB">
        <w:rPr>
          <w:rFonts w:ascii="Times New Roman" w:hAnsi="Times New Roman" w:cs="Times New Roman"/>
          <w:sz w:val="26"/>
          <w:szCs w:val="26"/>
        </w:rPr>
        <w:t xml:space="preserve"> This was 24,000 more than for August to October 2017, 70,000 more than for a year earlier and the highest figure since comparable records began in 2001. There were 730,000 job vacancies in the services sectors for November 2017 to January 2018, accounting for </w:t>
      </w:r>
      <w:r w:rsidR="00E93510" w:rsidRPr="00257ACB">
        <w:rPr>
          <w:rFonts w:ascii="Times New Roman" w:hAnsi="Times New Roman" w:cs="Times New Roman"/>
          <w:sz w:val="26"/>
          <w:szCs w:val="26"/>
        </w:rPr>
        <w:lastRenderedPageBreak/>
        <w:t>88.7% of all vacancies. Looking at services in more detail, the sectors with the largest number of job vacancies were wholesaling, retailing and repair of motor vehicles (136,000) and human health and social work (130,000).</w:t>
      </w:r>
      <w:r w:rsidR="006F2E4E">
        <w:rPr>
          <w:rStyle w:val="ae"/>
          <w:rFonts w:ascii="Times New Roman" w:hAnsi="Times New Roman" w:cs="Times New Roman"/>
          <w:sz w:val="26"/>
          <w:szCs w:val="26"/>
        </w:rPr>
        <w:footnoteReference w:id="13"/>
      </w:r>
      <w:r w:rsidR="00660501" w:rsidRPr="00257ACB">
        <w:rPr>
          <w:rFonts w:ascii="Times New Roman" w:hAnsi="Times New Roman" w:cs="Times New Roman"/>
          <w:sz w:val="26"/>
          <w:szCs w:val="26"/>
        </w:rPr>
        <w:t xml:space="preserve"> There were 2.8 job vacancies per 100 filled employee jobs for November 2017 to January 2018. </w:t>
      </w:r>
      <w:r w:rsidR="006F2E4E">
        <w:rPr>
          <w:rStyle w:val="ae"/>
          <w:rFonts w:ascii="Times New Roman" w:hAnsi="Times New Roman" w:cs="Times New Roman"/>
          <w:sz w:val="26"/>
          <w:szCs w:val="26"/>
        </w:rPr>
        <w:footnoteReference w:id="14"/>
      </w:r>
      <w:r w:rsidR="00660501" w:rsidRPr="00257ACB">
        <w:rPr>
          <w:rFonts w:ascii="Times New Roman" w:hAnsi="Times New Roman" w:cs="Times New Roman"/>
          <w:sz w:val="26"/>
          <w:szCs w:val="26"/>
        </w:rPr>
        <w:t>The industrial sector showing the largest vacancy rate was accommodation and food service activities (4.4 vacancies per 100 filled employee jobs) and the sector showing the smallest vacancy rate was public administration and defen</w:t>
      </w:r>
      <w:r w:rsidR="00842222" w:rsidRPr="00257ACB">
        <w:rPr>
          <w:rFonts w:ascii="Times New Roman" w:hAnsi="Times New Roman" w:cs="Times New Roman"/>
          <w:sz w:val="26"/>
          <w:szCs w:val="26"/>
        </w:rPr>
        <w:t>s</w:t>
      </w:r>
      <w:r w:rsidR="00660501" w:rsidRPr="00257ACB">
        <w:rPr>
          <w:rFonts w:ascii="Times New Roman" w:hAnsi="Times New Roman" w:cs="Times New Roman"/>
          <w:sz w:val="26"/>
          <w:szCs w:val="26"/>
        </w:rPr>
        <w:t>e (1.4 vacancies per 100 filled employee jobs).</w:t>
      </w:r>
      <w:r w:rsidR="006F2E4E">
        <w:rPr>
          <w:rStyle w:val="ae"/>
          <w:rFonts w:ascii="Times New Roman" w:hAnsi="Times New Roman" w:cs="Times New Roman"/>
          <w:sz w:val="26"/>
          <w:szCs w:val="26"/>
        </w:rPr>
        <w:footnoteReference w:id="15"/>
      </w:r>
    </w:p>
    <w:p w14:paraId="7D7FC725" w14:textId="46C3978E" w:rsidR="00EA4552" w:rsidRPr="00257ACB" w:rsidRDefault="00D65C90" w:rsidP="004C6555">
      <w:pPr>
        <w:pStyle w:val="a3"/>
        <w:rPr>
          <w:rFonts w:ascii="Times New Roman" w:hAnsi="Times New Roman" w:cs="Times New Roman"/>
          <w:sz w:val="26"/>
          <w:szCs w:val="26"/>
        </w:rPr>
      </w:pPr>
      <w:r w:rsidRPr="00257ACB">
        <w:rPr>
          <w:rFonts w:ascii="Times New Roman" w:hAnsi="Times New Roman" w:cs="Times New Roman"/>
          <w:sz w:val="26"/>
          <w:szCs w:val="26"/>
        </w:rPr>
        <w:t xml:space="preserve">On the other hand, it should also be </w:t>
      </w:r>
      <w:r w:rsidR="00C1079D" w:rsidRPr="00257ACB">
        <w:rPr>
          <w:rFonts w:ascii="Times New Roman" w:hAnsi="Times New Roman" w:cs="Times New Roman"/>
          <w:sz w:val="26"/>
          <w:szCs w:val="26"/>
        </w:rPr>
        <w:t>acknowledged</w:t>
      </w:r>
      <w:r w:rsidRPr="00257ACB">
        <w:rPr>
          <w:rFonts w:ascii="Times New Roman" w:hAnsi="Times New Roman" w:cs="Times New Roman"/>
          <w:sz w:val="26"/>
          <w:szCs w:val="26"/>
        </w:rPr>
        <w:t xml:space="preserve"> that the most figures or estimates illustrated above in the analysis are subject to some uncertainty which come from the methodology and the quality of the research. Most of the figures in this statistical analysis come from </w:t>
      </w:r>
      <w:r w:rsidR="00C1079D" w:rsidRPr="00257ACB">
        <w:rPr>
          <w:rFonts w:ascii="Times New Roman" w:hAnsi="Times New Roman" w:cs="Times New Roman"/>
          <w:sz w:val="26"/>
          <w:szCs w:val="26"/>
        </w:rPr>
        <w:t xml:space="preserve">sampling </w:t>
      </w:r>
      <w:r w:rsidRPr="00257ACB">
        <w:rPr>
          <w:rFonts w:ascii="Times New Roman" w:hAnsi="Times New Roman" w:cs="Times New Roman"/>
          <w:sz w:val="26"/>
          <w:szCs w:val="26"/>
        </w:rPr>
        <w:t xml:space="preserve">surveys of households or businesses and </w:t>
      </w:r>
      <w:r w:rsidR="00C1079D" w:rsidRPr="00257ACB">
        <w:rPr>
          <w:rFonts w:ascii="Times New Roman" w:hAnsi="Times New Roman" w:cs="Times New Roman"/>
          <w:sz w:val="26"/>
          <w:szCs w:val="26"/>
        </w:rPr>
        <w:t xml:space="preserve">the sampling </w:t>
      </w:r>
      <w:r w:rsidRPr="00257ACB">
        <w:rPr>
          <w:rFonts w:ascii="Times New Roman" w:hAnsi="Times New Roman" w:cs="Times New Roman"/>
          <w:sz w:val="26"/>
          <w:szCs w:val="26"/>
        </w:rPr>
        <w:t xml:space="preserve">is designed to </w:t>
      </w:r>
      <w:r w:rsidR="00C1079D" w:rsidRPr="00257ACB">
        <w:rPr>
          <w:rFonts w:ascii="Times New Roman" w:hAnsi="Times New Roman" w:cs="Times New Roman"/>
          <w:sz w:val="26"/>
          <w:szCs w:val="26"/>
        </w:rPr>
        <w:t>represent a whole population and to be as accurate as possible, but results from sample surveys are always estimates, not precise figures. This means that they are subject to some uncertainty and this can impact on the interpretation of changes in the estimates especially for short-term comparisons.</w:t>
      </w:r>
      <w:r w:rsidR="006F2E4E">
        <w:rPr>
          <w:rStyle w:val="ae"/>
          <w:rFonts w:ascii="Times New Roman" w:hAnsi="Times New Roman" w:cs="Times New Roman"/>
          <w:sz w:val="26"/>
          <w:szCs w:val="26"/>
        </w:rPr>
        <w:footnoteReference w:id="16"/>
      </w:r>
      <w:r w:rsidR="00C1079D" w:rsidRPr="00257ACB">
        <w:rPr>
          <w:rFonts w:ascii="Times New Roman" w:hAnsi="Times New Roman" w:cs="Times New Roman"/>
          <w:sz w:val="26"/>
          <w:szCs w:val="26"/>
        </w:rPr>
        <w:t xml:space="preserve"> </w:t>
      </w:r>
    </w:p>
    <w:p w14:paraId="1AD09F6A" w14:textId="4978EFEC" w:rsidR="00072315" w:rsidRPr="00257ACB" w:rsidRDefault="00072315" w:rsidP="00072315">
      <w:pPr>
        <w:rPr>
          <w:rFonts w:ascii="Times New Roman" w:hAnsi="Times New Roman" w:cs="Times New Roman"/>
          <w:sz w:val="26"/>
          <w:szCs w:val="26"/>
        </w:rPr>
      </w:pPr>
    </w:p>
    <w:p w14:paraId="3F990A80" w14:textId="57520324" w:rsidR="00072315" w:rsidRPr="00257ACB" w:rsidRDefault="007A6BAF" w:rsidP="00072315">
      <w:pPr>
        <w:pStyle w:val="a3"/>
        <w:numPr>
          <w:ilvl w:val="0"/>
          <w:numId w:val="14"/>
        </w:numPr>
        <w:ind w:leftChars="0"/>
        <w:rPr>
          <w:rFonts w:ascii="Times New Roman" w:hAnsi="Times New Roman" w:cs="Times New Roman"/>
          <w:sz w:val="26"/>
          <w:szCs w:val="26"/>
        </w:rPr>
      </w:pPr>
      <w:r w:rsidRPr="00257ACB">
        <w:rPr>
          <w:rFonts w:ascii="Times New Roman" w:hAnsi="Times New Roman" w:cs="Times New Roman"/>
          <w:sz w:val="26"/>
          <w:szCs w:val="26"/>
        </w:rPr>
        <w:t xml:space="preserve">Analysis of </w:t>
      </w:r>
      <w:r w:rsidR="00072315" w:rsidRPr="00257ACB">
        <w:rPr>
          <w:rFonts w:ascii="Times New Roman" w:hAnsi="Times New Roman" w:cs="Times New Roman"/>
          <w:sz w:val="26"/>
          <w:szCs w:val="26"/>
        </w:rPr>
        <w:t xml:space="preserve">Income inequality </w:t>
      </w:r>
      <w:r w:rsidR="00D61DEB" w:rsidRPr="00257ACB">
        <w:rPr>
          <w:rFonts w:ascii="Times New Roman" w:hAnsi="Times New Roman" w:cs="Times New Roman"/>
          <w:sz w:val="26"/>
          <w:szCs w:val="26"/>
        </w:rPr>
        <w:t>in the UK</w:t>
      </w:r>
      <w:r w:rsidR="00E241B1">
        <w:rPr>
          <w:rFonts w:ascii="Times New Roman" w:hAnsi="Times New Roman" w:cs="Times New Roman"/>
          <w:sz w:val="26"/>
          <w:szCs w:val="26"/>
        </w:rPr>
        <w:t xml:space="preserve"> based on related data</w:t>
      </w:r>
    </w:p>
    <w:p w14:paraId="7D933980" w14:textId="1DF6BDDA" w:rsidR="007D7001" w:rsidRPr="00F80722" w:rsidRDefault="00D61DEB" w:rsidP="007D7001">
      <w:pPr>
        <w:rPr>
          <w:rFonts w:ascii="Times New Roman" w:eastAsia="맑은 고딕" w:hAnsi="Times New Roman" w:cs="Times New Roman"/>
          <w:sz w:val="26"/>
          <w:szCs w:val="26"/>
        </w:rPr>
      </w:pPr>
      <w:bookmarkStart w:id="2" w:name="_Hlk522046179"/>
      <w:r w:rsidRPr="00257ACB">
        <w:rPr>
          <w:rFonts w:ascii="Times New Roman" w:eastAsia="맑은 고딕" w:hAnsi="Times New Roman" w:cs="Times New Roman"/>
          <w:sz w:val="26"/>
          <w:szCs w:val="26"/>
        </w:rPr>
        <w:t>According to</w:t>
      </w:r>
      <w:r w:rsidR="00072315" w:rsidRPr="00257ACB">
        <w:rPr>
          <w:rFonts w:ascii="Times New Roman" w:eastAsia="맑은 고딕" w:hAnsi="Times New Roman" w:cs="Times New Roman"/>
          <w:sz w:val="26"/>
          <w:szCs w:val="26"/>
        </w:rPr>
        <w:t xml:space="preserve"> </w:t>
      </w:r>
      <w:r w:rsidRPr="00257ACB">
        <w:rPr>
          <w:rFonts w:ascii="Times New Roman" w:eastAsia="맑은 고딕" w:hAnsi="Times New Roman" w:cs="Times New Roman"/>
          <w:sz w:val="26"/>
          <w:szCs w:val="26"/>
        </w:rPr>
        <w:t xml:space="preserve">the statistics presented by the House of Commons Library in 2017, the inequality in household incomes in the UK </w:t>
      </w:r>
      <w:r w:rsidR="00072315" w:rsidRPr="00257ACB">
        <w:rPr>
          <w:rFonts w:ascii="Times New Roman" w:eastAsia="맑은 고딕" w:hAnsi="Times New Roman" w:cs="Times New Roman"/>
          <w:sz w:val="26"/>
          <w:szCs w:val="26"/>
        </w:rPr>
        <w:t xml:space="preserve">has remained at a </w:t>
      </w:r>
      <w:r w:rsidRPr="00257ACB">
        <w:rPr>
          <w:rFonts w:ascii="Times New Roman" w:eastAsia="맑은 고딕" w:hAnsi="Times New Roman" w:cs="Times New Roman"/>
          <w:sz w:val="26"/>
          <w:szCs w:val="26"/>
        </w:rPr>
        <w:t>largely</w:t>
      </w:r>
      <w:r w:rsidR="00072315" w:rsidRPr="00257ACB">
        <w:rPr>
          <w:rFonts w:ascii="Times New Roman" w:eastAsia="맑은 고딕" w:hAnsi="Times New Roman" w:cs="Times New Roman"/>
          <w:sz w:val="26"/>
          <w:szCs w:val="26"/>
        </w:rPr>
        <w:t xml:space="preserve"> similar level since the early 1990s, but </w:t>
      </w:r>
      <w:r w:rsidRPr="00257ACB">
        <w:rPr>
          <w:rFonts w:ascii="Times New Roman" w:eastAsia="맑은 고딕" w:hAnsi="Times New Roman" w:cs="Times New Roman"/>
          <w:sz w:val="26"/>
          <w:szCs w:val="26"/>
        </w:rPr>
        <w:t>is shown</w:t>
      </w:r>
      <w:r w:rsidR="00072315" w:rsidRPr="00257ACB">
        <w:rPr>
          <w:rFonts w:ascii="Times New Roman" w:eastAsia="맑은 고딕" w:hAnsi="Times New Roman" w:cs="Times New Roman"/>
          <w:sz w:val="26"/>
          <w:szCs w:val="26"/>
        </w:rPr>
        <w:t xml:space="preserve"> higher than during the 1960s and 1970s.</w:t>
      </w:r>
      <w:bookmarkEnd w:id="2"/>
      <w:r w:rsidR="006F2E4E">
        <w:rPr>
          <w:rStyle w:val="ae"/>
          <w:rFonts w:ascii="Times New Roman" w:eastAsia="맑은 고딕" w:hAnsi="Times New Roman" w:cs="Times New Roman"/>
          <w:sz w:val="26"/>
          <w:szCs w:val="26"/>
        </w:rPr>
        <w:footnoteReference w:id="17"/>
      </w:r>
      <w:r w:rsidR="009249AD" w:rsidRPr="00257ACB">
        <w:rPr>
          <w:rFonts w:ascii="Times New Roman" w:eastAsia="맑은 고딕" w:hAnsi="Times New Roman" w:cs="Times New Roman"/>
          <w:sz w:val="26"/>
          <w:szCs w:val="26"/>
        </w:rPr>
        <w:t xml:space="preserve"> After the 2008 economic recession, </w:t>
      </w:r>
      <w:r w:rsidR="009249AD" w:rsidRPr="00257ACB">
        <w:rPr>
          <w:rFonts w:ascii="Times New Roman" w:eastAsia="맑은 고딕" w:hAnsi="Times New Roman" w:cs="Times New Roman"/>
          <w:sz w:val="26"/>
          <w:szCs w:val="26"/>
        </w:rPr>
        <w:lastRenderedPageBreak/>
        <w:t>there was a small reduction in income inequality (based on income before deducting housing costs) as higher income households saw a larger real terms fall in income than households at the bottom of the distribution.</w:t>
      </w:r>
      <w:r w:rsidR="006F2E4E">
        <w:rPr>
          <w:rStyle w:val="ae"/>
          <w:rFonts w:ascii="Times New Roman" w:eastAsia="맑은 고딕" w:hAnsi="Times New Roman" w:cs="Times New Roman"/>
          <w:sz w:val="26"/>
          <w:szCs w:val="26"/>
        </w:rPr>
        <w:footnoteReference w:id="18"/>
      </w:r>
      <w:r w:rsidR="009249AD" w:rsidRPr="00257ACB">
        <w:rPr>
          <w:rFonts w:ascii="Times New Roman" w:eastAsia="맑은 고딕" w:hAnsi="Times New Roman" w:cs="Times New Roman"/>
          <w:sz w:val="26"/>
          <w:szCs w:val="26"/>
        </w:rPr>
        <w:t xml:space="preserve"> This can be explained by the sharp fall in real earnings after the recession, while benefits levels remained more stable. Measurement of income inequality is generally concerned with inequality in disposable incomes </w:t>
      </w:r>
      <w:r w:rsidR="00AD7EAA" w:rsidRPr="00257ACB">
        <w:rPr>
          <w:rFonts w:ascii="Times New Roman" w:eastAsia="맑은 고딕" w:hAnsi="Times New Roman" w:cs="Times New Roman"/>
          <w:sz w:val="26"/>
          <w:szCs w:val="26"/>
        </w:rPr>
        <w:t>which is calculated after benefits and after direct taxes.</w:t>
      </w:r>
      <w:r w:rsidR="006F2E4E">
        <w:rPr>
          <w:rStyle w:val="ae"/>
          <w:rFonts w:ascii="Times New Roman" w:eastAsia="맑은 고딕" w:hAnsi="Times New Roman" w:cs="Times New Roman"/>
          <w:sz w:val="26"/>
          <w:szCs w:val="26"/>
        </w:rPr>
        <w:footnoteReference w:id="19"/>
      </w:r>
      <w:r w:rsidR="009249AD" w:rsidRPr="00257ACB">
        <w:rPr>
          <w:rFonts w:ascii="Times New Roman" w:eastAsia="맑은 고딕" w:hAnsi="Times New Roman" w:cs="Times New Roman"/>
          <w:sz w:val="26"/>
          <w:szCs w:val="26"/>
        </w:rPr>
        <w:t xml:space="preserve"> </w:t>
      </w:r>
      <w:r w:rsidR="00AD7EAA" w:rsidRPr="00257ACB">
        <w:rPr>
          <w:rFonts w:ascii="Times New Roman" w:eastAsia="맑은 고딕" w:hAnsi="Times New Roman" w:cs="Times New Roman"/>
          <w:sz w:val="26"/>
          <w:szCs w:val="26"/>
        </w:rPr>
        <w:t>Upon the tracking income inequality in the UK based on various indicators including the Gini coefficient or any other such as the ratio of incomes for individuals at different points on the household income distribution</w:t>
      </w:r>
      <w:r w:rsidR="009249AD" w:rsidRPr="00257ACB">
        <w:rPr>
          <w:rFonts w:ascii="Times New Roman" w:eastAsia="맑은 고딕" w:hAnsi="Times New Roman" w:cs="Times New Roman"/>
          <w:sz w:val="26"/>
          <w:szCs w:val="26"/>
        </w:rPr>
        <w:t>, and the share of total income going to different groups of households, a more complete picture of income inequality is obtained.</w:t>
      </w:r>
      <w:r w:rsidR="006F2E4E">
        <w:rPr>
          <w:rStyle w:val="ae"/>
          <w:rFonts w:ascii="Times New Roman" w:eastAsia="맑은 고딕" w:hAnsi="Times New Roman" w:cs="Times New Roman"/>
          <w:sz w:val="26"/>
          <w:szCs w:val="26"/>
        </w:rPr>
        <w:footnoteReference w:id="20"/>
      </w:r>
      <w:r w:rsidR="009249AD" w:rsidRPr="00257ACB">
        <w:rPr>
          <w:rFonts w:ascii="Times New Roman" w:eastAsia="맑은 고딕" w:hAnsi="Times New Roman" w:cs="Times New Roman"/>
          <w:sz w:val="26"/>
          <w:szCs w:val="26"/>
        </w:rPr>
        <w:t xml:space="preserve"> </w:t>
      </w:r>
      <w:r w:rsidR="009A68A7" w:rsidRPr="00257ACB">
        <w:rPr>
          <w:rFonts w:ascii="Times New Roman" w:eastAsia="맑은 고딕" w:hAnsi="Times New Roman" w:cs="Times New Roman"/>
          <w:sz w:val="26"/>
          <w:szCs w:val="26"/>
        </w:rPr>
        <w:t>For</w:t>
      </w:r>
      <w:r w:rsidR="0056295B">
        <w:rPr>
          <w:rFonts w:ascii="Times New Roman" w:eastAsia="맑은 고딕" w:hAnsi="Times New Roman" w:cs="Times New Roman"/>
          <w:sz w:val="26"/>
          <w:szCs w:val="26"/>
        </w:rPr>
        <w:t xml:space="preserve"> example</w:t>
      </w:r>
      <w:r w:rsidR="009A68A7" w:rsidRPr="00257ACB">
        <w:rPr>
          <w:rFonts w:ascii="Times New Roman" w:eastAsia="맑은 고딕" w:hAnsi="Times New Roman" w:cs="Times New Roman"/>
          <w:sz w:val="26"/>
          <w:szCs w:val="26"/>
        </w:rPr>
        <w:t>,</w:t>
      </w:r>
      <w:r w:rsidR="009249AD" w:rsidRPr="00257ACB">
        <w:rPr>
          <w:rFonts w:ascii="Times New Roman" w:eastAsia="맑은 고딕" w:hAnsi="Times New Roman" w:cs="Times New Roman"/>
          <w:sz w:val="26"/>
          <w:szCs w:val="26"/>
        </w:rPr>
        <w:t xml:space="preserve"> OECD figures suggest income inequality in the UK is higher than in most European countries but is lower than in the United States, based on the Gini coefficient for </w:t>
      </w:r>
      <w:r w:rsidR="00AD7EAA" w:rsidRPr="00257ACB">
        <w:rPr>
          <w:rFonts w:ascii="Times New Roman" w:eastAsia="맑은 고딕" w:hAnsi="Times New Roman" w:cs="Times New Roman"/>
          <w:sz w:val="26"/>
          <w:szCs w:val="26"/>
        </w:rPr>
        <w:t xml:space="preserve">the </w:t>
      </w:r>
      <w:r w:rsidR="009249AD" w:rsidRPr="00257ACB">
        <w:rPr>
          <w:rFonts w:ascii="Times New Roman" w:eastAsia="맑은 고딕" w:hAnsi="Times New Roman" w:cs="Times New Roman"/>
          <w:sz w:val="26"/>
          <w:szCs w:val="26"/>
        </w:rPr>
        <w:t>disposable income adjusted for differences in household size and composition. Data published by Eurostat gives a slightly different picture, indicating income inequality in the UK is lower than in some other EU countries but is still higher than the EU average</w:t>
      </w:r>
      <w:r w:rsidR="009A68A7" w:rsidRPr="00257ACB">
        <w:rPr>
          <w:rFonts w:ascii="Times New Roman" w:eastAsia="맑은 고딕" w:hAnsi="Times New Roman" w:cs="Times New Roman"/>
          <w:sz w:val="26"/>
          <w:szCs w:val="26"/>
        </w:rPr>
        <w:t>.</w:t>
      </w:r>
      <w:r w:rsidR="006F2E4E">
        <w:rPr>
          <w:rStyle w:val="ae"/>
          <w:rFonts w:ascii="Times New Roman" w:eastAsia="맑은 고딕" w:hAnsi="Times New Roman" w:cs="Times New Roman"/>
          <w:sz w:val="26"/>
          <w:szCs w:val="26"/>
        </w:rPr>
        <w:footnoteReference w:id="21"/>
      </w:r>
      <w:r w:rsidR="00D72995">
        <w:rPr>
          <w:rFonts w:ascii="Times New Roman" w:eastAsia="맑은 고딕" w:hAnsi="Times New Roman" w:cs="Times New Roman"/>
          <w:sz w:val="26"/>
          <w:szCs w:val="26"/>
        </w:rPr>
        <w:t>Furthermore, there have been results out</w:t>
      </w:r>
      <w:r w:rsidR="00307BFF">
        <w:rPr>
          <w:rFonts w:ascii="Times New Roman" w:eastAsia="맑은 고딕" w:hAnsi="Times New Roman" w:cs="Times New Roman"/>
          <w:sz w:val="26"/>
          <w:szCs w:val="26"/>
        </w:rPr>
        <w:t xml:space="preserve"> of</w:t>
      </w:r>
      <w:r w:rsidR="00D72995">
        <w:rPr>
          <w:rFonts w:ascii="Times New Roman" w:eastAsia="맑은 고딕" w:hAnsi="Times New Roman" w:cs="Times New Roman"/>
          <w:sz w:val="26"/>
          <w:szCs w:val="26"/>
        </w:rPr>
        <w:t xml:space="preserve"> the research demonstrating the positive relationship between economic inequality and poverty in the UK</w:t>
      </w:r>
      <w:r w:rsidR="00307BFF">
        <w:rPr>
          <w:rFonts w:ascii="Times New Roman" w:eastAsia="맑은 고딕" w:hAnsi="Times New Roman" w:cs="Times New Roman"/>
          <w:sz w:val="26"/>
          <w:szCs w:val="26"/>
        </w:rPr>
        <w:t xml:space="preserve"> over recent decades, which is to show that income equality could have been a correlative factor which can aggravate the relative income poverty level in the UK over recent decades. A</w:t>
      </w:r>
      <w:r w:rsidR="00816EDC">
        <w:rPr>
          <w:rFonts w:ascii="Times New Roman" w:eastAsia="맑은 고딕" w:hAnsi="Times New Roman" w:cs="Times New Roman"/>
          <w:sz w:val="26"/>
          <w:szCs w:val="26"/>
        </w:rPr>
        <w:t>ccording to the results out of the research investigated on the relationship between economic inequality and poverty in the UK</w:t>
      </w:r>
      <w:r w:rsidR="00D72995">
        <w:rPr>
          <w:rFonts w:ascii="Times New Roman" w:eastAsia="맑은 고딕" w:hAnsi="Times New Roman" w:cs="Times New Roman"/>
          <w:sz w:val="26"/>
          <w:szCs w:val="26"/>
        </w:rPr>
        <w:t xml:space="preserve"> using the Gini coefficient as a measure of income inequality</w:t>
      </w:r>
      <w:r w:rsidR="00816EDC">
        <w:rPr>
          <w:rFonts w:ascii="Times New Roman" w:eastAsia="맑은 고딕" w:hAnsi="Times New Roman" w:cs="Times New Roman"/>
          <w:sz w:val="26"/>
          <w:szCs w:val="26"/>
        </w:rPr>
        <w:t xml:space="preserve">, a </w:t>
      </w:r>
      <w:r w:rsidR="00816EDC" w:rsidRPr="00E241B1">
        <w:rPr>
          <w:rFonts w:ascii="Times New Roman" w:eastAsia="맑은 고딕" w:hAnsi="Times New Roman" w:cs="Times New Roman"/>
          <w:sz w:val="26"/>
          <w:szCs w:val="26"/>
        </w:rPr>
        <w:t xml:space="preserve">positive correlation between income inequality and relative income poverty in the UK over recent decades can be clearly </w:t>
      </w:r>
      <w:r w:rsidR="00307BFF">
        <w:rPr>
          <w:rFonts w:ascii="Times New Roman" w:eastAsia="맑은 고딕" w:hAnsi="Times New Roman" w:cs="Times New Roman"/>
          <w:sz w:val="26"/>
          <w:szCs w:val="26"/>
        </w:rPr>
        <w:t>found</w:t>
      </w:r>
      <w:r w:rsidR="00816EDC" w:rsidRPr="00E241B1">
        <w:rPr>
          <w:rFonts w:ascii="Times New Roman" w:eastAsia="맑은 고딕" w:hAnsi="Times New Roman" w:cs="Times New Roman"/>
          <w:sz w:val="26"/>
          <w:szCs w:val="26"/>
        </w:rPr>
        <w:t>.</w:t>
      </w:r>
      <w:r w:rsidR="00816EDC">
        <w:rPr>
          <w:rFonts w:ascii="Times New Roman" w:eastAsia="맑은 고딕" w:hAnsi="Times New Roman" w:cs="Times New Roman"/>
          <w:sz w:val="26"/>
          <w:szCs w:val="26"/>
        </w:rPr>
        <w:t xml:space="preserve"> </w:t>
      </w:r>
      <w:r w:rsidR="00307BFF">
        <w:rPr>
          <w:rFonts w:ascii="Times New Roman" w:eastAsia="맑은 고딕" w:hAnsi="Times New Roman" w:cs="Times New Roman"/>
          <w:sz w:val="26"/>
          <w:szCs w:val="26"/>
        </w:rPr>
        <w:t xml:space="preserve">It was explained </w:t>
      </w:r>
      <w:r w:rsidR="00816EDC">
        <w:rPr>
          <w:rFonts w:ascii="Times New Roman" w:eastAsia="맑은 고딕" w:hAnsi="Times New Roman" w:cs="Times New Roman"/>
          <w:sz w:val="26"/>
          <w:szCs w:val="26"/>
        </w:rPr>
        <w:t xml:space="preserve">that </w:t>
      </w:r>
      <w:r w:rsidR="00816EDC" w:rsidRPr="00E241B1">
        <w:rPr>
          <w:rFonts w:ascii="Times New Roman" w:eastAsia="맑은 고딕" w:hAnsi="Times New Roman" w:cs="Times New Roman"/>
          <w:sz w:val="26"/>
          <w:szCs w:val="26"/>
        </w:rPr>
        <w:t>relative poverty rates tend to be higher when income inequality is higher, and this suggests that increases in income inequality are associated with increases in relative income poverty rates.</w:t>
      </w:r>
      <w:r w:rsidR="00243B49">
        <w:rPr>
          <w:rStyle w:val="ae"/>
          <w:rFonts w:ascii="Times New Roman" w:eastAsia="맑은 고딕" w:hAnsi="Times New Roman" w:cs="Times New Roman"/>
          <w:sz w:val="26"/>
          <w:szCs w:val="26"/>
        </w:rPr>
        <w:footnoteReference w:id="22"/>
      </w:r>
      <w:r w:rsidR="00816EDC">
        <w:rPr>
          <w:rFonts w:ascii="Times New Roman" w:eastAsia="맑은 고딕" w:hAnsi="Times New Roman" w:cs="Times New Roman"/>
          <w:sz w:val="26"/>
          <w:szCs w:val="26"/>
        </w:rPr>
        <w:t xml:space="preserve"> </w:t>
      </w:r>
      <w:r w:rsidR="00370A9D">
        <w:rPr>
          <w:rFonts w:ascii="Times New Roman" w:eastAsia="맑은 고딕" w:hAnsi="Times New Roman" w:cs="Times New Roman"/>
          <w:sz w:val="26"/>
          <w:szCs w:val="26"/>
        </w:rPr>
        <w:t xml:space="preserve">According to the OECD Income Inequality report published in 2015, </w:t>
      </w:r>
      <w:r w:rsidR="00C60A11" w:rsidRPr="00C60A11">
        <w:rPr>
          <w:rFonts w:ascii="Times New Roman" w:eastAsia="맑은 고딕" w:hAnsi="Times New Roman" w:cs="Times New Roman"/>
          <w:sz w:val="26"/>
          <w:szCs w:val="26"/>
        </w:rPr>
        <w:lastRenderedPageBreak/>
        <w:t xml:space="preserve">the average income of the richest 10% is almost 10 times as large as for the poorest 10%. The OECD average is </w:t>
      </w:r>
      <w:r w:rsidR="00370A9D">
        <w:rPr>
          <w:rFonts w:ascii="Times New Roman" w:eastAsia="맑은 고딕" w:hAnsi="Times New Roman" w:cs="Times New Roman"/>
          <w:sz w:val="26"/>
          <w:szCs w:val="26"/>
        </w:rPr>
        <w:t xml:space="preserve">shown as </w:t>
      </w:r>
      <w:r w:rsidR="00C60A11" w:rsidRPr="00C60A11">
        <w:rPr>
          <w:rFonts w:ascii="Times New Roman" w:eastAsia="맑은 고딕" w:hAnsi="Times New Roman" w:cs="Times New Roman"/>
          <w:sz w:val="26"/>
          <w:szCs w:val="26"/>
        </w:rPr>
        <w:t>9.5, in France and Germany it is around 7 and in the US 16.</w:t>
      </w:r>
      <w:r w:rsidR="00243B49">
        <w:rPr>
          <w:rStyle w:val="ae"/>
          <w:rFonts w:ascii="Times New Roman" w:eastAsia="맑은 고딕" w:hAnsi="Times New Roman" w:cs="Times New Roman"/>
          <w:sz w:val="26"/>
          <w:szCs w:val="26"/>
        </w:rPr>
        <w:footnoteReference w:id="23"/>
      </w:r>
      <w:r w:rsidR="007D7001">
        <w:rPr>
          <w:rFonts w:ascii="Times New Roman" w:eastAsia="맑은 고딕" w:hAnsi="Times New Roman" w:cs="Times New Roman"/>
          <w:sz w:val="26"/>
          <w:szCs w:val="26"/>
        </w:rPr>
        <w:t xml:space="preserve"> Also in this report, the concern is that between 2005 and 2011 the average income of the poorest 10% in the UK fell 2% in real terms and w</w:t>
      </w:r>
      <w:r w:rsidR="007D7001" w:rsidRPr="00C60A11">
        <w:rPr>
          <w:rFonts w:ascii="Times New Roman" w:eastAsia="맑은 고딕" w:hAnsi="Times New Roman" w:cs="Times New Roman"/>
          <w:sz w:val="26"/>
          <w:szCs w:val="26"/>
        </w:rPr>
        <w:t>hile the average household income in the UK is slightly lower than in Germany and France, the average income of the bottom 10% in the UK is much lower.</w:t>
      </w:r>
      <w:r w:rsidR="00243B49">
        <w:rPr>
          <w:rStyle w:val="ae"/>
          <w:rFonts w:ascii="Times New Roman" w:eastAsia="맑은 고딕" w:hAnsi="Times New Roman" w:cs="Times New Roman"/>
          <w:sz w:val="26"/>
          <w:szCs w:val="26"/>
        </w:rPr>
        <w:footnoteReference w:id="24"/>
      </w:r>
      <w:r w:rsidR="007D7001" w:rsidRPr="00C60A11">
        <w:rPr>
          <w:rFonts w:ascii="Times New Roman" w:eastAsia="맑은 고딕" w:hAnsi="Times New Roman" w:cs="Times New Roman"/>
          <w:sz w:val="26"/>
          <w:szCs w:val="26"/>
        </w:rPr>
        <w:t xml:space="preserve"> </w:t>
      </w:r>
      <w:r w:rsidR="00AB4C44">
        <w:rPr>
          <w:rFonts w:ascii="Times New Roman" w:eastAsia="맑은 고딕" w:hAnsi="Times New Roman" w:cs="Times New Roman"/>
          <w:sz w:val="26"/>
          <w:szCs w:val="26"/>
        </w:rPr>
        <w:t xml:space="preserve">That is, the </w:t>
      </w:r>
      <w:r w:rsidR="007D7001" w:rsidRPr="00C60A11">
        <w:rPr>
          <w:rFonts w:ascii="Times New Roman" w:eastAsia="맑은 고딕" w:hAnsi="Times New Roman" w:cs="Times New Roman"/>
          <w:sz w:val="26"/>
          <w:szCs w:val="26"/>
        </w:rPr>
        <w:t>level of income inequality among the total population in the U</w:t>
      </w:r>
      <w:r w:rsidR="00AB4C44">
        <w:rPr>
          <w:rFonts w:ascii="Times New Roman" w:eastAsia="맑은 고딕" w:hAnsi="Times New Roman" w:cs="Times New Roman"/>
          <w:sz w:val="26"/>
          <w:szCs w:val="26"/>
        </w:rPr>
        <w:t xml:space="preserve">K </w:t>
      </w:r>
      <w:r w:rsidR="007D7001" w:rsidRPr="00C60A11">
        <w:rPr>
          <w:rFonts w:ascii="Times New Roman" w:eastAsia="맑은 고딕" w:hAnsi="Times New Roman" w:cs="Times New Roman"/>
          <w:sz w:val="26"/>
          <w:szCs w:val="26"/>
        </w:rPr>
        <w:t>has been well above the OECD average in the last three decades. From a peak in 2000 and subsequent fall, it rose again since 2005. Recent data up to fiscal year 2012/13 suggests inequality has been constant since 2010.</w:t>
      </w:r>
      <w:r w:rsidR="00243B49">
        <w:rPr>
          <w:rStyle w:val="ae"/>
          <w:rFonts w:ascii="Times New Roman" w:eastAsia="맑은 고딕" w:hAnsi="Times New Roman" w:cs="Times New Roman"/>
          <w:sz w:val="26"/>
          <w:szCs w:val="26"/>
        </w:rPr>
        <w:footnoteReference w:id="25"/>
      </w:r>
      <w:r w:rsidR="00900854">
        <w:rPr>
          <w:rFonts w:ascii="Times New Roman" w:eastAsia="맑은 고딕" w:hAnsi="Times New Roman" w:cs="Times New Roman"/>
          <w:sz w:val="26"/>
          <w:szCs w:val="26"/>
        </w:rPr>
        <w:t xml:space="preserve"> Furthermore, it shows that t</w:t>
      </w:r>
      <w:r w:rsidR="007D7001" w:rsidRPr="00C60A11">
        <w:rPr>
          <w:rFonts w:ascii="Times New Roman" w:eastAsia="맑은 고딕" w:hAnsi="Times New Roman" w:cs="Times New Roman"/>
          <w:sz w:val="26"/>
          <w:szCs w:val="26"/>
        </w:rPr>
        <w:t xml:space="preserve">axes and benefits reduce income </w:t>
      </w:r>
      <w:r w:rsidR="00900854">
        <w:rPr>
          <w:rFonts w:ascii="Times New Roman" w:eastAsia="맑은 고딕" w:hAnsi="Times New Roman" w:cs="Times New Roman"/>
          <w:sz w:val="26"/>
          <w:szCs w:val="26"/>
        </w:rPr>
        <w:t xml:space="preserve">inequality </w:t>
      </w:r>
      <w:r w:rsidR="007D7001" w:rsidRPr="00C60A11">
        <w:rPr>
          <w:rFonts w:ascii="Times New Roman" w:eastAsia="맑은 고딕" w:hAnsi="Times New Roman" w:cs="Times New Roman"/>
          <w:sz w:val="26"/>
          <w:szCs w:val="26"/>
        </w:rPr>
        <w:t>in the UK</w:t>
      </w:r>
      <w:r w:rsidR="00900854">
        <w:rPr>
          <w:rFonts w:ascii="Times New Roman" w:eastAsia="맑은 고딕" w:hAnsi="Times New Roman" w:cs="Times New Roman"/>
          <w:sz w:val="26"/>
          <w:szCs w:val="26"/>
        </w:rPr>
        <w:t xml:space="preserve"> to the extent which is i</w:t>
      </w:r>
      <w:r w:rsidR="007D7001" w:rsidRPr="00C60A11">
        <w:rPr>
          <w:rFonts w:ascii="Times New Roman" w:eastAsia="맑은 고딕" w:hAnsi="Times New Roman" w:cs="Times New Roman"/>
          <w:sz w:val="26"/>
          <w:szCs w:val="26"/>
        </w:rPr>
        <w:t>n line with the OECD average, but below other European countries such as France, Germany or the Nordics.</w:t>
      </w:r>
      <w:r w:rsidR="00243B49">
        <w:rPr>
          <w:rStyle w:val="ae"/>
          <w:rFonts w:ascii="Times New Roman" w:eastAsia="맑은 고딕" w:hAnsi="Times New Roman" w:cs="Times New Roman"/>
          <w:sz w:val="26"/>
          <w:szCs w:val="26"/>
        </w:rPr>
        <w:footnoteReference w:id="26"/>
      </w:r>
      <w:r w:rsidR="007D7001" w:rsidRPr="00C60A11">
        <w:rPr>
          <w:rFonts w:ascii="Times New Roman" w:eastAsia="맑은 고딕" w:hAnsi="Times New Roman" w:cs="Times New Roman"/>
          <w:sz w:val="26"/>
          <w:szCs w:val="26"/>
        </w:rPr>
        <w:t xml:space="preserve"> </w:t>
      </w:r>
      <w:r w:rsidR="008712FE">
        <w:rPr>
          <w:rFonts w:ascii="Times New Roman" w:eastAsia="맑은 고딕" w:hAnsi="Times New Roman" w:cs="Times New Roman"/>
          <w:sz w:val="26"/>
          <w:szCs w:val="26"/>
        </w:rPr>
        <w:t xml:space="preserve">The remarkable </w:t>
      </w:r>
      <w:r w:rsidR="00CA0B5C">
        <w:rPr>
          <w:rFonts w:ascii="Times New Roman" w:eastAsia="맑은 고딕" w:hAnsi="Times New Roman" w:cs="Times New Roman"/>
          <w:sz w:val="26"/>
          <w:szCs w:val="26"/>
        </w:rPr>
        <w:t>thing to mention is that c</w:t>
      </w:r>
      <w:r w:rsidR="007D7001" w:rsidRPr="00C60A11">
        <w:rPr>
          <w:rFonts w:ascii="Times New Roman" w:eastAsia="맑은 고딕" w:hAnsi="Times New Roman" w:cs="Times New Roman"/>
          <w:sz w:val="26"/>
          <w:szCs w:val="26"/>
        </w:rPr>
        <w:t>hanges in taxes and benefits combined have reduced household income on average in the UK since 2007.</w:t>
      </w:r>
      <w:r w:rsidR="00243B49">
        <w:rPr>
          <w:rStyle w:val="ae"/>
          <w:rFonts w:ascii="Times New Roman" w:eastAsia="맑은 고딕" w:hAnsi="Times New Roman" w:cs="Times New Roman"/>
          <w:sz w:val="26"/>
          <w:szCs w:val="26"/>
        </w:rPr>
        <w:footnoteReference w:id="27"/>
      </w:r>
      <w:r w:rsidR="007D7001" w:rsidRPr="00C60A11">
        <w:rPr>
          <w:rFonts w:ascii="Times New Roman" w:eastAsia="맑은 고딕" w:hAnsi="Times New Roman" w:cs="Times New Roman"/>
          <w:sz w:val="26"/>
          <w:szCs w:val="26"/>
        </w:rPr>
        <w:t xml:space="preserve"> </w:t>
      </w:r>
      <w:r w:rsidR="00673FC4">
        <w:rPr>
          <w:rFonts w:ascii="Times New Roman" w:eastAsia="맑은 고딕" w:hAnsi="Times New Roman" w:cs="Times New Roman"/>
          <w:sz w:val="26"/>
          <w:szCs w:val="26"/>
        </w:rPr>
        <w:t xml:space="preserve">This report </w:t>
      </w:r>
      <w:r w:rsidR="00130B85">
        <w:rPr>
          <w:rFonts w:ascii="Times New Roman" w:eastAsia="맑은 고딕" w:hAnsi="Times New Roman" w:cs="Times New Roman"/>
          <w:sz w:val="26"/>
          <w:szCs w:val="26"/>
        </w:rPr>
        <w:t>demonstrates</w:t>
      </w:r>
      <w:r w:rsidR="00673FC4">
        <w:rPr>
          <w:rFonts w:ascii="Times New Roman" w:eastAsia="맑은 고딕" w:hAnsi="Times New Roman" w:cs="Times New Roman"/>
          <w:sz w:val="26"/>
          <w:szCs w:val="26"/>
        </w:rPr>
        <w:t xml:space="preserve"> that in particular, fa</w:t>
      </w:r>
      <w:r w:rsidR="007D7001" w:rsidRPr="00C60A11">
        <w:rPr>
          <w:rFonts w:ascii="Times New Roman" w:eastAsia="맑은 고딕" w:hAnsi="Times New Roman" w:cs="Times New Roman"/>
          <w:sz w:val="26"/>
          <w:szCs w:val="26"/>
        </w:rPr>
        <w:t>milies earning around the average wage tended to gain, particularly due to the increase in the income tax basic allowance</w:t>
      </w:r>
      <w:r w:rsidR="00130B85">
        <w:rPr>
          <w:rFonts w:ascii="Times New Roman" w:eastAsia="맑은 고딕" w:hAnsi="Times New Roman" w:cs="Times New Roman"/>
          <w:sz w:val="26"/>
          <w:szCs w:val="26"/>
        </w:rPr>
        <w:t>, however the impact on families in</w:t>
      </w:r>
      <w:r w:rsidR="007D7001" w:rsidRPr="00C60A11">
        <w:rPr>
          <w:rFonts w:ascii="Times New Roman" w:eastAsia="맑은 고딕" w:hAnsi="Times New Roman" w:cs="Times New Roman"/>
          <w:sz w:val="26"/>
          <w:szCs w:val="26"/>
        </w:rPr>
        <w:t xml:space="preserve"> unemployment and with low earnings was dependent on the family composition</w:t>
      </w:r>
      <w:r w:rsidR="00130B85">
        <w:rPr>
          <w:rFonts w:ascii="Times New Roman" w:eastAsia="맑은 고딕" w:hAnsi="Times New Roman" w:cs="Times New Roman"/>
          <w:sz w:val="26"/>
          <w:szCs w:val="26"/>
        </w:rPr>
        <w:t xml:space="preserve"> in accordance with the composition of various tax and benefits systems in the UK. In the UK, it was </w:t>
      </w:r>
      <w:proofErr w:type="spellStart"/>
      <w:r w:rsidR="00130B85">
        <w:rPr>
          <w:rFonts w:ascii="Times New Roman" w:eastAsia="맑은 고딕" w:hAnsi="Times New Roman" w:cs="Times New Roman"/>
          <w:sz w:val="26"/>
          <w:szCs w:val="26"/>
        </w:rPr>
        <w:t>analysed</w:t>
      </w:r>
      <w:proofErr w:type="spellEnd"/>
      <w:r w:rsidR="00130B85">
        <w:rPr>
          <w:rFonts w:ascii="Times New Roman" w:eastAsia="맑은 고딕" w:hAnsi="Times New Roman" w:cs="Times New Roman"/>
          <w:sz w:val="26"/>
          <w:szCs w:val="26"/>
        </w:rPr>
        <w:t xml:space="preserve"> that the families</w:t>
      </w:r>
      <w:r w:rsidR="007D7001" w:rsidRPr="00C60A11">
        <w:rPr>
          <w:rFonts w:ascii="Times New Roman" w:eastAsia="맑은 고딕" w:hAnsi="Times New Roman" w:cs="Times New Roman"/>
          <w:sz w:val="26"/>
          <w:szCs w:val="26"/>
        </w:rPr>
        <w:t xml:space="preserve"> without children tended to lose, mainly due to changes in housing benefits</w:t>
      </w:r>
      <w:r w:rsidR="00130B85">
        <w:rPr>
          <w:rFonts w:ascii="Times New Roman" w:eastAsia="맑은 고딕" w:hAnsi="Times New Roman" w:cs="Times New Roman"/>
          <w:sz w:val="26"/>
          <w:szCs w:val="26"/>
        </w:rPr>
        <w:t xml:space="preserve"> and f</w:t>
      </w:r>
      <w:r w:rsidR="007D7001" w:rsidRPr="00C60A11">
        <w:rPr>
          <w:rFonts w:ascii="Times New Roman" w:eastAsia="맑은 고딕" w:hAnsi="Times New Roman" w:cs="Times New Roman"/>
          <w:sz w:val="26"/>
          <w:szCs w:val="26"/>
        </w:rPr>
        <w:t>amilies with children tended to gain through the rise in the child tax credit</w:t>
      </w:r>
      <w:r w:rsidR="00130B85">
        <w:rPr>
          <w:rFonts w:ascii="Times New Roman" w:eastAsia="맑은 고딕" w:hAnsi="Times New Roman" w:cs="Times New Roman"/>
          <w:sz w:val="26"/>
          <w:szCs w:val="26"/>
        </w:rPr>
        <w:t xml:space="preserve"> and it was revealed that the policy</w:t>
      </w:r>
      <w:r w:rsidR="007D7001" w:rsidRPr="00C60A11">
        <w:rPr>
          <w:rFonts w:ascii="Times New Roman" w:eastAsia="맑은 고딕" w:hAnsi="Times New Roman" w:cs="Times New Roman"/>
          <w:sz w:val="26"/>
          <w:szCs w:val="26"/>
        </w:rPr>
        <w:t xml:space="preserve"> changes also reduced the income of higher earnings families due to the withdrawal of child benefit and higher social contributions</w:t>
      </w:r>
      <w:r w:rsidR="00130B85">
        <w:rPr>
          <w:rFonts w:ascii="Times New Roman" w:eastAsia="맑은 고딕" w:hAnsi="Times New Roman" w:cs="Times New Roman"/>
          <w:sz w:val="26"/>
          <w:szCs w:val="26"/>
        </w:rPr>
        <w:t>.</w:t>
      </w:r>
      <w:r w:rsidR="00243B49">
        <w:rPr>
          <w:rStyle w:val="ae"/>
          <w:rFonts w:ascii="Times New Roman" w:eastAsia="맑은 고딕" w:hAnsi="Times New Roman" w:cs="Times New Roman"/>
          <w:sz w:val="26"/>
          <w:szCs w:val="26"/>
        </w:rPr>
        <w:footnoteReference w:id="28"/>
      </w:r>
    </w:p>
    <w:p w14:paraId="3D86AFDC" w14:textId="77777777" w:rsidR="007D7001" w:rsidRPr="00257ACB" w:rsidRDefault="007D7001" w:rsidP="00C60A11">
      <w:pPr>
        <w:rPr>
          <w:rFonts w:ascii="Times New Roman" w:eastAsia="맑은 고딕" w:hAnsi="Times New Roman" w:cs="Times New Roman"/>
          <w:sz w:val="26"/>
          <w:szCs w:val="26"/>
          <w:highlight w:val="lightGray"/>
        </w:rPr>
      </w:pPr>
    </w:p>
    <w:p w14:paraId="4EDE197C" w14:textId="395D2A78" w:rsidR="004269E0" w:rsidRPr="00257ACB" w:rsidRDefault="006D234D" w:rsidP="006D234D">
      <w:pPr>
        <w:pStyle w:val="a3"/>
        <w:numPr>
          <w:ilvl w:val="0"/>
          <w:numId w:val="7"/>
        </w:numPr>
        <w:ind w:leftChars="0"/>
        <w:rPr>
          <w:rFonts w:ascii="Times New Roman" w:eastAsia="맑은 고딕" w:hAnsi="Times New Roman" w:cs="Times New Roman"/>
          <w:sz w:val="26"/>
          <w:szCs w:val="26"/>
          <w:highlight w:val="lightGray"/>
        </w:rPr>
      </w:pPr>
      <w:r w:rsidRPr="00257ACB">
        <w:rPr>
          <w:rFonts w:ascii="Times New Roman" w:eastAsia="맑은 고딕" w:hAnsi="Times New Roman" w:cs="Times New Roman"/>
          <w:sz w:val="26"/>
          <w:szCs w:val="26"/>
        </w:rPr>
        <w:t xml:space="preserve"> </w:t>
      </w:r>
      <w:r w:rsidR="00880733" w:rsidRPr="00257ACB">
        <w:rPr>
          <w:rFonts w:ascii="Times New Roman" w:eastAsia="맑은 고딕" w:hAnsi="Times New Roman" w:cs="Times New Roman"/>
          <w:sz w:val="26"/>
          <w:szCs w:val="26"/>
        </w:rPr>
        <w:t>New</w:t>
      </w:r>
      <w:r w:rsidR="00880733" w:rsidRPr="00257ACB">
        <w:rPr>
          <w:rFonts w:ascii="Times New Roman" w:hAnsi="Times New Roman" w:cs="Times New Roman"/>
          <w:sz w:val="26"/>
          <w:szCs w:val="26"/>
        </w:rPr>
        <w:t xml:space="preserve"> forms of Employment in </w:t>
      </w:r>
      <w:r w:rsidR="000C0F13" w:rsidRPr="00257ACB">
        <w:rPr>
          <w:rFonts w:ascii="Times New Roman" w:eastAsia="맑은 고딕" w:hAnsi="Times New Roman" w:cs="Times New Roman"/>
          <w:sz w:val="26"/>
          <w:szCs w:val="26"/>
        </w:rPr>
        <w:t>the UK</w:t>
      </w:r>
      <w:r w:rsidR="00880733" w:rsidRPr="00257ACB">
        <w:rPr>
          <w:rFonts w:ascii="Times New Roman" w:eastAsia="맑은 고딕" w:hAnsi="Times New Roman" w:cs="Times New Roman"/>
          <w:sz w:val="26"/>
          <w:szCs w:val="26"/>
        </w:rPr>
        <w:t xml:space="preserve"> and the legal issues</w:t>
      </w:r>
    </w:p>
    <w:p w14:paraId="45110515" w14:textId="77777777" w:rsidR="00475B38" w:rsidRPr="00257ACB" w:rsidRDefault="00475B38" w:rsidP="00475B38">
      <w:pPr>
        <w:pStyle w:val="a3"/>
        <w:ind w:leftChars="0" w:left="1200"/>
        <w:rPr>
          <w:rFonts w:ascii="Times New Roman" w:eastAsia="맑은 고딕" w:hAnsi="Times New Roman" w:cs="Times New Roman"/>
          <w:sz w:val="26"/>
          <w:szCs w:val="26"/>
          <w:highlight w:val="lightGray"/>
        </w:rPr>
      </w:pPr>
    </w:p>
    <w:p w14:paraId="300C3E4A" w14:textId="1CD6F2AB" w:rsidR="006D234D" w:rsidRPr="00257ACB" w:rsidRDefault="00026753" w:rsidP="006D234D">
      <w:pPr>
        <w:pStyle w:val="a3"/>
        <w:numPr>
          <w:ilvl w:val="0"/>
          <w:numId w:val="5"/>
        </w:numPr>
        <w:ind w:leftChars="0"/>
        <w:rPr>
          <w:rFonts w:ascii="Times New Roman" w:hAnsi="Times New Roman" w:cs="Times New Roman"/>
          <w:sz w:val="26"/>
          <w:szCs w:val="26"/>
        </w:rPr>
      </w:pPr>
      <w:r w:rsidRPr="00257ACB">
        <w:rPr>
          <w:rFonts w:ascii="Times New Roman" w:hAnsi="Times New Roman" w:cs="Times New Roman"/>
          <w:sz w:val="26"/>
          <w:szCs w:val="26"/>
        </w:rPr>
        <w:t xml:space="preserve">The overview </w:t>
      </w:r>
      <w:r w:rsidR="00880733" w:rsidRPr="00257ACB">
        <w:rPr>
          <w:rFonts w:ascii="Times New Roman" w:hAnsi="Times New Roman" w:cs="Times New Roman"/>
          <w:sz w:val="26"/>
          <w:szCs w:val="26"/>
        </w:rPr>
        <w:t xml:space="preserve">of </w:t>
      </w:r>
      <w:r w:rsidR="00BC3CD2" w:rsidRPr="00257ACB">
        <w:rPr>
          <w:rFonts w:ascii="Times New Roman" w:hAnsi="Times New Roman" w:cs="Times New Roman"/>
          <w:sz w:val="26"/>
          <w:szCs w:val="26"/>
        </w:rPr>
        <w:t xml:space="preserve">flexible </w:t>
      </w:r>
      <w:proofErr w:type="spellStart"/>
      <w:r w:rsidR="00BC3CD2" w:rsidRPr="00257ACB">
        <w:rPr>
          <w:rFonts w:ascii="Times New Roman" w:hAnsi="Times New Roman" w:cs="Times New Roman"/>
          <w:sz w:val="26"/>
          <w:szCs w:val="26"/>
        </w:rPr>
        <w:t>labour</w:t>
      </w:r>
      <w:proofErr w:type="spellEnd"/>
      <w:r w:rsidR="00BC3CD2" w:rsidRPr="00257ACB">
        <w:rPr>
          <w:rFonts w:ascii="Times New Roman" w:hAnsi="Times New Roman" w:cs="Times New Roman"/>
          <w:sz w:val="26"/>
          <w:szCs w:val="26"/>
        </w:rPr>
        <w:t xml:space="preserve"> market</w:t>
      </w:r>
    </w:p>
    <w:p w14:paraId="4563843F" w14:textId="4AD6EE6A" w:rsidR="001C0C8B" w:rsidRPr="00257ACB" w:rsidRDefault="00EE1C97" w:rsidP="006D234D">
      <w:pPr>
        <w:pStyle w:val="a3"/>
        <w:ind w:leftChars="0" w:left="1120"/>
        <w:rPr>
          <w:rFonts w:ascii="Times New Roman" w:hAnsi="Times New Roman" w:cs="Times New Roman"/>
          <w:sz w:val="26"/>
          <w:szCs w:val="26"/>
        </w:rPr>
      </w:pPr>
      <w:r w:rsidRPr="00257ACB">
        <w:rPr>
          <w:rFonts w:ascii="Times New Roman" w:hAnsi="Times New Roman" w:cs="Times New Roman"/>
          <w:sz w:val="26"/>
          <w:szCs w:val="26"/>
        </w:rPr>
        <w:t>In recent years, most European countries including the UK have seen v</w:t>
      </w:r>
      <w:r w:rsidR="00852E38" w:rsidRPr="00257ACB">
        <w:rPr>
          <w:rFonts w:ascii="Times New Roman" w:hAnsi="Times New Roman" w:cs="Times New Roman"/>
          <w:sz w:val="26"/>
          <w:szCs w:val="26"/>
        </w:rPr>
        <w:t>arious</w:t>
      </w:r>
      <w:r w:rsidR="006D234D" w:rsidRPr="00257ACB">
        <w:rPr>
          <w:rFonts w:ascii="Times New Roman" w:hAnsi="Times New Roman" w:cs="Times New Roman"/>
          <w:sz w:val="26"/>
          <w:szCs w:val="26"/>
        </w:rPr>
        <w:t xml:space="preserve"> social and economic developments, </w:t>
      </w:r>
      <w:r w:rsidRPr="00257ACB">
        <w:rPr>
          <w:rFonts w:ascii="Times New Roman" w:hAnsi="Times New Roman" w:cs="Times New Roman"/>
          <w:sz w:val="26"/>
          <w:szCs w:val="26"/>
        </w:rPr>
        <w:t xml:space="preserve">and </w:t>
      </w:r>
      <w:r w:rsidR="006D234D" w:rsidRPr="00257ACB">
        <w:rPr>
          <w:rFonts w:ascii="Times New Roman" w:hAnsi="Times New Roman" w:cs="Times New Roman"/>
          <w:sz w:val="26"/>
          <w:szCs w:val="26"/>
        </w:rPr>
        <w:t xml:space="preserve">particularly the need for increased flexibility by both employers and workers, </w:t>
      </w:r>
      <w:r w:rsidR="00874382" w:rsidRPr="00257ACB">
        <w:rPr>
          <w:rFonts w:ascii="Times New Roman" w:hAnsi="Times New Roman" w:cs="Times New Roman"/>
          <w:sz w:val="26"/>
          <w:szCs w:val="26"/>
        </w:rPr>
        <w:t xml:space="preserve">also </w:t>
      </w:r>
      <w:r w:rsidRPr="00257ACB">
        <w:rPr>
          <w:rFonts w:ascii="Times New Roman" w:hAnsi="Times New Roman" w:cs="Times New Roman"/>
          <w:sz w:val="26"/>
          <w:szCs w:val="26"/>
        </w:rPr>
        <w:t>based on</w:t>
      </w:r>
      <w:r w:rsidR="00874382" w:rsidRPr="00257ACB">
        <w:rPr>
          <w:rFonts w:ascii="Times New Roman" w:hAnsi="Times New Roman" w:cs="Times New Roman"/>
          <w:sz w:val="26"/>
          <w:szCs w:val="26"/>
        </w:rPr>
        <w:t xml:space="preserve"> the broader use of advanced </w:t>
      </w:r>
      <w:r w:rsidR="006D234D" w:rsidRPr="00257ACB">
        <w:rPr>
          <w:rFonts w:ascii="Times New Roman" w:hAnsi="Times New Roman" w:cs="Times New Roman"/>
          <w:sz w:val="26"/>
          <w:szCs w:val="26"/>
        </w:rPr>
        <w:t xml:space="preserve">information and communication technologies </w:t>
      </w:r>
      <w:r w:rsidR="00874382" w:rsidRPr="00257ACB">
        <w:rPr>
          <w:rFonts w:ascii="Times New Roman" w:hAnsi="Times New Roman" w:cs="Times New Roman"/>
          <w:sz w:val="26"/>
          <w:szCs w:val="26"/>
        </w:rPr>
        <w:t>(ICT) has been leading to the new emerging forms of employment.</w:t>
      </w:r>
      <w:r w:rsidRPr="00257ACB">
        <w:rPr>
          <w:rFonts w:ascii="Times New Roman" w:hAnsi="Times New Roman" w:cs="Times New Roman"/>
          <w:sz w:val="26"/>
          <w:szCs w:val="26"/>
        </w:rPr>
        <w:t xml:space="preserve"> This development of new forms of employment has </w:t>
      </w:r>
      <w:r w:rsidR="00566148" w:rsidRPr="00257ACB">
        <w:rPr>
          <w:rFonts w:ascii="Times New Roman" w:hAnsi="Times New Roman" w:cs="Times New Roman"/>
          <w:sz w:val="26"/>
          <w:szCs w:val="26"/>
        </w:rPr>
        <w:t>put forwarded</w:t>
      </w:r>
      <w:r w:rsidRPr="00257ACB">
        <w:rPr>
          <w:rFonts w:ascii="Times New Roman" w:hAnsi="Times New Roman" w:cs="Times New Roman"/>
          <w:sz w:val="26"/>
          <w:szCs w:val="26"/>
        </w:rPr>
        <w:t xml:space="preserve"> EU </w:t>
      </w:r>
      <w:proofErr w:type="spellStart"/>
      <w:r w:rsidRPr="00257ACB">
        <w:rPr>
          <w:rFonts w:ascii="Times New Roman" w:hAnsi="Times New Roman" w:cs="Times New Roman"/>
          <w:sz w:val="26"/>
          <w:szCs w:val="26"/>
        </w:rPr>
        <w:t>labour</w:t>
      </w:r>
      <w:proofErr w:type="spellEnd"/>
      <w:r w:rsidRPr="00257ACB">
        <w:rPr>
          <w:rFonts w:ascii="Times New Roman" w:hAnsi="Times New Roman" w:cs="Times New Roman"/>
          <w:sz w:val="26"/>
          <w:szCs w:val="26"/>
        </w:rPr>
        <w:t xml:space="preserve"> policy issues</w:t>
      </w:r>
      <w:r w:rsidR="00C044F4" w:rsidRPr="00257ACB">
        <w:rPr>
          <w:rFonts w:ascii="Times New Roman" w:hAnsi="Times New Roman" w:cs="Times New Roman"/>
          <w:sz w:val="26"/>
          <w:szCs w:val="26"/>
        </w:rPr>
        <w:t xml:space="preserve"> such as</w:t>
      </w:r>
      <w:r w:rsidR="00566148" w:rsidRPr="00257ACB">
        <w:rPr>
          <w:rFonts w:ascii="Times New Roman" w:hAnsi="Times New Roman" w:cs="Times New Roman"/>
          <w:sz w:val="26"/>
          <w:szCs w:val="26"/>
        </w:rPr>
        <w:t xml:space="preserve"> the </w:t>
      </w:r>
      <w:r w:rsidR="00C044F4" w:rsidRPr="00257ACB">
        <w:rPr>
          <w:rFonts w:ascii="Times New Roman" w:hAnsi="Times New Roman" w:cs="Times New Roman"/>
          <w:sz w:val="26"/>
          <w:szCs w:val="26"/>
        </w:rPr>
        <w:t>specific</w:t>
      </w:r>
      <w:r w:rsidR="00566148" w:rsidRPr="00257ACB">
        <w:rPr>
          <w:rFonts w:ascii="Times New Roman" w:hAnsi="Times New Roman" w:cs="Times New Roman"/>
          <w:sz w:val="26"/>
          <w:szCs w:val="26"/>
        </w:rPr>
        <w:t xml:space="preserve"> characteristics of those new forms of employment and </w:t>
      </w:r>
      <w:r w:rsidR="00A84ADA" w:rsidRPr="00257ACB">
        <w:rPr>
          <w:rFonts w:ascii="Times New Roman" w:hAnsi="Times New Roman" w:cs="Times New Roman"/>
          <w:sz w:val="26"/>
          <w:szCs w:val="26"/>
        </w:rPr>
        <w:t xml:space="preserve">their impacts on working conditions and the </w:t>
      </w:r>
      <w:proofErr w:type="spellStart"/>
      <w:r w:rsidR="00A84ADA" w:rsidRPr="00257ACB">
        <w:rPr>
          <w:rFonts w:ascii="Times New Roman" w:hAnsi="Times New Roman" w:cs="Times New Roman"/>
          <w:sz w:val="26"/>
          <w:szCs w:val="26"/>
        </w:rPr>
        <w:t>labour</w:t>
      </w:r>
      <w:proofErr w:type="spellEnd"/>
      <w:r w:rsidR="00A84ADA" w:rsidRPr="00257ACB">
        <w:rPr>
          <w:rFonts w:ascii="Times New Roman" w:hAnsi="Times New Roman" w:cs="Times New Roman"/>
          <w:sz w:val="26"/>
          <w:szCs w:val="26"/>
        </w:rPr>
        <w:t xml:space="preserve"> market and the</w:t>
      </w:r>
      <w:r w:rsidR="00566148" w:rsidRPr="00257ACB">
        <w:rPr>
          <w:rFonts w:ascii="Times New Roman" w:hAnsi="Times New Roman" w:cs="Times New Roman"/>
          <w:sz w:val="26"/>
          <w:szCs w:val="26"/>
        </w:rPr>
        <w:t xml:space="preserve"> policy implications</w:t>
      </w:r>
      <w:r w:rsidR="00735915" w:rsidRPr="00257ACB">
        <w:rPr>
          <w:rFonts w:ascii="Times New Roman" w:hAnsi="Times New Roman" w:cs="Times New Roman"/>
          <w:sz w:val="26"/>
          <w:szCs w:val="26"/>
        </w:rPr>
        <w:t>.</w:t>
      </w:r>
      <w:r w:rsidR="00566148" w:rsidRPr="00257ACB">
        <w:rPr>
          <w:rFonts w:ascii="Times New Roman" w:hAnsi="Times New Roman" w:cs="Times New Roman"/>
          <w:sz w:val="26"/>
          <w:szCs w:val="26"/>
        </w:rPr>
        <w:t xml:space="preserve"> </w:t>
      </w:r>
      <w:r w:rsidR="006D234D" w:rsidRPr="00257ACB">
        <w:rPr>
          <w:rFonts w:ascii="Times New Roman" w:hAnsi="Times New Roman" w:cs="Times New Roman"/>
          <w:sz w:val="26"/>
          <w:szCs w:val="26"/>
        </w:rPr>
        <w:t>According to the research project conducted by the European Foundation for the Improvement of Living and Working Conditions (</w:t>
      </w:r>
      <w:proofErr w:type="spellStart"/>
      <w:r w:rsidR="006D234D" w:rsidRPr="00257ACB">
        <w:rPr>
          <w:rFonts w:ascii="Times New Roman" w:hAnsi="Times New Roman" w:cs="Times New Roman"/>
          <w:sz w:val="26"/>
          <w:szCs w:val="26"/>
        </w:rPr>
        <w:t>Eurofound</w:t>
      </w:r>
      <w:proofErr w:type="spellEnd"/>
      <w:r w:rsidR="006D234D" w:rsidRPr="00257ACB">
        <w:rPr>
          <w:rFonts w:ascii="Times New Roman" w:hAnsi="Times New Roman" w:cs="Times New Roman"/>
          <w:sz w:val="26"/>
          <w:szCs w:val="26"/>
        </w:rPr>
        <w:t>) in 2013/2014</w:t>
      </w:r>
      <w:r w:rsidR="00A84ADA" w:rsidRPr="00257ACB">
        <w:rPr>
          <w:rFonts w:ascii="Times New Roman" w:hAnsi="Times New Roman" w:cs="Times New Roman"/>
          <w:sz w:val="26"/>
          <w:szCs w:val="26"/>
        </w:rPr>
        <w:t>,</w:t>
      </w:r>
      <w:r w:rsidR="00243B49">
        <w:rPr>
          <w:rStyle w:val="ae"/>
          <w:rFonts w:ascii="Times New Roman" w:hAnsi="Times New Roman" w:cs="Times New Roman"/>
          <w:sz w:val="26"/>
          <w:szCs w:val="26"/>
        </w:rPr>
        <w:footnoteReference w:id="29"/>
      </w:r>
      <w:r w:rsidR="00A84ADA" w:rsidRPr="00257ACB">
        <w:rPr>
          <w:rFonts w:ascii="Times New Roman" w:hAnsi="Times New Roman" w:cs="Times New Roman"/>
          <w:sz w:val="26"/>
          <w:szCs w:val="26"/>
        </w:rPr>
        <w:t xml:space="preserve"> nine broad new employment forms were identified</w:t>
      </w:r>
      <w:r w:rsidR="00492FBB" w:rsidRPr="00257ACB">
        <w:rPr>
          <w:rFonts w:ascii="Times New Roman" w:hAnsi="Times New Roman" w:cs="Times New Roman"/>
          <w:sz w:val="26"/>
          <w:szCs w:val="26"/>
        </w:rPr>
        <w:t>. New employment forms can be classed in two groups,</w:t>
      </w:r>
      <w:r w:rsidR="00E2252E" w:rsidRPr="00257ACB">
        <w:rPr>
          <w:rFonts w:ascii="Times New Roman" w:hAnsi="Times New Roman" w:cs="Times New Roman"/>
          <w:sz w:val="26"/>
          <w:szCs w:val="26"/>
        </w:rPr>
        <w:t xml:space="preserve"> which represent the new models of the employment</w:t>
      </w:r>
      <w:r w:rsidR="00492FBB" w:rsidRPr="00257ACB">
        <w:rPr>
          <w:rFonts w:ascii="Times New Roman" w:hAnsi="Times New Roman" w:cs="Times New Roman"/>
          <w:sz w:val="26"/>
          <w:szCs w:val="26"/>
        </w:rPr>
        <w:t xml:space="preserve"> relationship between employer and employee or client and workers</w:t>
      </w:r>
      <w:r w:rsidR="00E2252E" w:rsidRPr="00257ACB">
        <w:rPr>
          <w:rFonts w:ascii="Times New Roman" w:hAnsi="Times New Roman" w:cs="Times New Roman"/>
          <w:sz w:val="26"/>
          <w:szCs w:val="26"/>
        </w:rPr>
        <w:t>,</w:t>
      </w:r>
      <w:r w:rsidR="00492FBB" w:rsidRPr="00257ACB">
        <w:rPr>
          <w:rFonts w:ascii="Times New Roman" w:hAnsi="Times New Roman" w:cs="Times New Roman"/>
          <w:sz w:val="26"/>
          <w:szCs w:val="26"/>
        </w:rPr>
        <w:t xml:space="preserve"> and</w:t>
      </w:r>
      <w:r w:rsidR="00E2252E" w:rsidRPr="00257ACB">
        <w:rPr>
          <w:rFonts w:ascii="Times New Roman" w:hAnsi="Times New Roman" w:cs="Times New Roman"/>
          <w:sz w:val="26"/>
          <w:szCs w:val="26"/>
        </w:rPr>
        <w:t xml:space="preserve"> </w:t>
      </w:r>
      <w:r w:rsidR="00492FBB" w:rsidRPr="00257ACB">
        <w:rPr>
          <w:rFonts w:ascii="Times New Roman" w:hAnsi="Times New Roman" w:cs="Times New Roman"/>
          <w:sz w:val="26"/>
          <w:szCs w:val="26"/>
        </w:rPr>
        <w:t>new work patterns</w:t>
      </w:r>
      <w:r w:rsidR="00E2252E" w:rsidRPr="00257ACB">
        <w:rPr>
          <w:rFonts w:ascii="Times New Roman" w:hAnsi="Times New Roman" w:cs="Times New Roman"/>
          <w:sz w:val="26"/>
          <w:szCs w:val="26"/>
        </w:rPr>
        <w:t>, that is</w:t>
      </w:r>
      <w:r w:rsidR="00492FBB" w:rsidRPr="00257ACB">
        <w:rPr>
          <w:rFonts w:ascii="Times New Roman" w:hAnsi="Times New Roman" w:cs="Times New Roman"/>
          <w:sz w:val="26"/>
          <w:szCs w:val="26"/>
        </w:rPr>
        <w:t xml:space="preserve"> new ways in which work is conducted.</w:t>
      </w:r>
      <w:r w:rsidR="00243B49">
        <w:rPr>
          <w:rStyle w:val="ae"/>
          <w:rFonts w:ascii="Times New Roman" w:hAnsi="Times New Roman" w:cs="Times New Roman"/>
          <w:sz w:val="26"/>
          <w:szCs w:val="26"/>
        </w:rPr>
        <w:footnoteReference w:id="30"/>
      </w:r>
      <w:r w:rsidR="006B0350" w:rsidRPr="00257ACB">
        <w:rPr>
          <w:rFonts w:ascii="Times New Roman" w:hAnsi="Times New Roman" w:cs="Times New Roman"/>
          <w:sz w:val="26"/>
          <w:szCs w:val="26"/>
        </w:rPr>
        <w:t xml:space="preserve"> </w:t>
      </w:r>
      <w:r w:rsidR="00291EEE" w:rsidRPr="00257ACB">
        <w:rPr>
          <w:rFonts w:ascii="Times New Roman" w:hAnsi="Times New Roman" w:cs="Times New Roman"/>
          <w:sz w:val="26"/>
          <w:szCs w:val="26"/>
        </w:rPr>
        <w:t xml:space="preserve">In </w:t>
      </w:r>
      <w:r w:rsidR="00B93D52" w:rsidRPr="00257ACB">
        <w:rPr>
          <w:rFonts w:ascii="Times New Roman" w:hAnsi="Times New Roman" w:cs="Times New Roman"/>
          <w:sz w:val="26"/>
          <w:szCs w:val="26"/>
        </w:rPr>
        <w:t>relation to new employment relationships,</w:t>
      </w:r>
      <w:r w:rsidR="00291EEE" w:rsidRPr="00257ACB">
        <w:rPr>
          <w:rFonts w:ascii="Times New Roman" w:hAnsi="Times New Roman" w:cs="Times New Roman"/>
          <w:sz w:val="26"/>
          <w:szCs w:val="26"/>
        </w:rPr>
        <w:t xml:space="preserve"> </w:t>
      </w:r>
      <w:r w:rsidR="00B93D52" w:rsidRPr="00257ACB">
        <w:rPr>
          <w:rFonts w:ascii="Times New Roman" w:hAnsi="Times New Roman" w:cs="Times New Roman"/>
          <w:sz w:val="26"/>
          <w:szCs w:val="26"/>
        </w:rPr>
        <w:t>it can be noticed that two new employment forms – employee sharing and job sharing – are emerging across Europe.</w:t>
      </w:r>
      <w:r w:rsidR="00243B49">
        <w:rPr>
          <w:rStyle w:val="ae"/>
          <w:rFonts w:ascii="Times New Roman" w:hAnsi="Times New Roman" w:cs="Times New Roman"/>
          <w:sz w:val="26"/>
          <w:szCs w:val="26"/>
        </w:rPr>
        <w:footnoteReference w:id="31"/>
      </w:r>
      <w:r w:rsidR="00334622" w:rsidRPr="00257ACB">
        <w:rPr>
          <w:rFonts w:ascii="Times New Roman" w:hAnsi="Times New Roman" w:cs="Times New Roman"/>
          <w:sz w:val="26"/>
          <w:szCs w:val="26"/>
        </w:rPr>
        <w:t xml:space="preserve"> Employee sharing </w:t>
      </w:r>
      <w:r w:rsidR="00875284" w:rsidRPr="00257ACB">
        <w:rPr>
          <w:rFonts w:ascii="Times New Roman" w:hAnsi="Times New Roman" w:cs="Times New Roman"/>
          <w:sz w:val="26"/>
          <w:szCs w:val="26"/>
        </w:rPr>
        <w:t>can be defined that</w:t>
      </w:r>
      <w:r w:rsidR="00334622" w:rsidRPr="00257ACB">
        <w:rPr>
          <w:rFonts w:ascii="Times New Roman" w:hAnsi="Times New Roman" w:cs="Times New Roman"/>
          <w:sz w:val="26"/>
          <w:szCs w:val="26"/>
        </w:rPr>
        <w:t xml:space="preserve"> an individual worker is jointly hired by a group of employers (who are not clients of a traditional temporary work agency) and work on a rotating basis for the involved companies. </w:t>
      </w:r>
      <w:r w:rsidR="00875284" w:rsidRPr="00257ACB">
        <w:rPr>
          <w:rFonts w:ascii="Times New Roman" w:hAnsi="Times New Roman" w:cs="Times New Roman"/>
          <w:sz w:val="26"/>
          <w:szCs w:val="26"/>
        </w:rPr>
        <w:t xml:space="preserve">On the other hand, job sharing is the new </w:t>
      </w:r>
      <w:r w:rsidR="00441FF1" w:rsidRPr="00257ACB">
        <w:rPr>
          <w:rFonts w:ascii="Times New Roman" w:hAnsi="Times New Roman" w:cs="Times New Roman"/>
          <w:sz w:val="26"/>
          <w:szCs w:val="26"/>
        </w:rPr>
        <w:t>form</w:t>
      </w:r>
      <w:r w:rsidR="00875284" w:rsidRPr="00257ACB">
        <w:rPr>
          <w:rFonts w:ascii="Times New Roman" w:hAnsi="Times New Roman" w:cs="Times New Roman"/>
          <w:sz w:val="26"/>
          <w:szCs w:val="26"/>
        </w:rPr>
        <w:t xml:space="preserve"> of work </w:t>
      </w:r>
      <w:r w:rsidR="00441FF1" w:rsidRPr="00257ACB">
        <w:rPr>
          <w:rFonts w:ascii="Times New Roman" w:hAnsi="Times New Roman" w:cs="Times New Roman"/>
          <w:sz w:val="26"/>
          <w:szCs w:val="26"/>
        </w:rPr>
        <w:t>in which</w:t>
      </w:r>
      <w:r w:rsidR="00875284" w:rsidRPr="00257ACB">
        <w:rPr>
          <w:rFonts w:ascii="Times New Roman" w:hAnsi="Times New Roman" w:cs="Times New Roman"/>
          <w:sz w:val="26"/>
          <w:szCs w:val="26"/>
        </w:rPr>
        <w:t xml:space="preserve"> single employer hire</w:t>
      </w:r>
      <w:r w:rsidR="00441FF1" w:rsidRPr="00257ACB">
        <w:rPr>
          <w:rFonts w:ascii="Times New Roman" w:hAnsi="Times New Roman" w:cs="Times New Roman"/>
          <w:sz w:val="26"/>
          <w:szCs w:val="26"/>
        </w:rPr>
        <w:t>s</w:t>
      </w:r>
      <w:r w:rsidR="00875284" w:rsidRPr="00257ACB">
        <w:rPr>
          <w:rFonts w:ascii="Times New Roman" w:hAnsi="Times New Roman" w:cs="Times New Roman"/>
          <w:sz w:val="26"/>
          <w:szCs w:val="26"/>
        </w:rPr>
        <w:t xml:space="preserve"> two or more workers to jointly fill a specific job.</w:t>
      </w:r>
      <w:r w:rsidR="00243B49">
        <w:rPr>
          <w:rStyle w:val="ae"/>
          <w:rFonts w:ascii="Times New Roman" w:hAnsi="Times New Roman" w:cs="Times New Roman"/>
          <w:sz w:val="26"/>
          <w:szCs w:val="26"/>
        </w:rPr>
        <w:footnoteReference w:id="32"/>
      </w:r>
      <w:r w:rsidR="00441FF1" w:rsidRPr="00257ACB">
        <w:rPr>
          <w:rFonts w:ascii="Times New Roman" w:hAnsi="Times New Roman" w:cs="Times New Roman"/>
          <w:sz w:val="26"/>
          <w:szCs w:val="26"/>
        </w:rPr>
        <w:t xml:space="preserve"> </w:t>
      </w:r>
      <w:r w:rsidR="008371BB" w:rsidRPr="00257ACB">
        <w:rPr>
          <w:rFonts w:ascii="Times New Roman" w:hAnsi="Times New Roman" w:cs="Times New Roman"/>
          <w:sz w:val="26"/>
          <w:szCs w:val="26"/>
        </w:rPr>
        <w:t>Another</w:t>
      </w:r>
      <w:r w:rsidR="00441FF1" w:rsidRPr="00257ACB">
        <w:rPr>
          <w:rFonts w:ascii="Times New Roman" w:hAnsi="Times New Roman" w:cs="Times New Roman"/>
          <w:sz w:val="26"/>
          <w:szCs w:val="26"/>
        </w:rPr>
        <w:t xml:space="preserve"> new form of employment relationship is shown as voucher</w:t>
      </w:r>
      <w:r w:rsidR="0060488F" w:rsidRPr="00257ACB">
        <w:rPr>
          <w:rFonts w:ascii="Times New Roman" w:hAnsi="Times New Roman" w:cs="Times New Roman"/>
          <w:sz w:val="26"/>
          <w:szCs w:val="26"/>
        </w:rPr>
        <w:t>-</w:t>
      </w:r>
      <w:r w:rsidR="00441FF1" w:rsidRPr="00257ACB">
        <w:rPr>
          <w:rFonts w:ascii="Times New Roman" w:hAnsi="Times New Roman" w:cs="Times New Roman"/>
          <w:sz w:val="26"/>
          <w:szCs w:val="26"/>
        </w:rPr>
        <w:t>based work, in which the employment relationship and related payment is based on a voucher rather than an employment contract.</w:t>
      </w:r>
      <w:r w:rsidR="00243B49">
        <w:rPr>
          <w:rStyle w:val="ae"/>
          <w:rFonts w:ascii="Times New Roman" w:hAnsi="Times New Roman" w:cs="Times New Roman"/>
          <w:sz w:val="26"/>
          <w:szCs w:val="26"/>
        </w:rPr>
        <w:footnoteReference w:id="33"/>
      </w:r>
      <w:r w:rsidR="0060488F" w:rsidRPr="00257ACB">
        <w:rPr>
          <w:rFonts w:ascii="Times New Roman" w:hAnsi="Times New Roman" w:cs="Times New Roman"/>
          <w:sz w:val="26"/>
          <w:szCs w:val="26"/>
        </w:rPr>
        <w:t xml:space="preserve"> </w:t>
      </w:r>
      <w:r w:rsidR="00BD5445" w:rsidRPr="00257ACB">
        <w:rPr>
          <w:rFonts w:ascii="Times New Roman" w:hAnsi="Times New Roman" w:cs="Times New Roman"/>
          <w:sz w:val="26"/>
          <w:szCs w:val="26"/>
        </w:rPr>
        <w:t xml:space="preserve">Then in this case, the </w:t>
      </w:r>
      <w:r w:rsidR="00BD5445" w:rsidRPr="00257ACB">
        <w:rPr>
          <w:rFonts w:ascii="Times New Roman" w:hAnsi="Times New Roman" w:cs="Times New Roman"/>
          <w:sz w:val="26"/>
          <w:szCs w:val="26"/>
        </w:rPr>
        <w:lastRenderedPageBreak/>
        <w:t>workers have a status somewhere between employees and self-employed in most cases.</w:t>
      </w:r>
      <w:r w:rsidR="00243B49">
        <w:rPr>
          <w:rStyle w:val="ae"/>
          <w:rFonts w:ascii="Times New Roman" w:hAnsi="Times New Roman" w:cs="Times New Roman"/>
          <w:sz w:val="26"/>
          <w:szCs w:val="26"/>
        </w:rPr>
        <w:footnoteReference w:id="34"/>
      </w:r>
      <w:r w:rsidR="00A656B3" w:rsidRPr="00257ACB">
        <w:rPr>
          <w:rFonts w:ascii="Times New Roman" w:hAnsi="Times New Roman" w:cs="Times New Roman"/>
          <w:sz w:val="26"/>
          <w:szCs w:val="26"/>
        </w:rPr>
        <w:t xml:space="preserve"> </w:t>
      </w:r>
    </w:p>
    <w:p w14:paraId="40FDAE9E" w14:textId="078B613C" w:rsidR="00D401F5" w:rsidRPr="00257ACB" w:rsidRDefault="001C0C8B" w:rsidP="006D234D">
      <w:pPr>
        <w:pStyle w:val="a3"/>
        <w:ind w:leftChars="0" w:left="1120"/>
        <w:rPr>
          <w:rFonts w:ascii="Times New Roman" w:hAnsi="Times New Roman" w:cs="Times New Roman"/>
          <w:sz w:val="26"/>
          <w:szCs w:val="26"/>
        </w:rPr>
      </w:pPr>
      <w:r w:rsidRPr="00257ACB">
        <w:rPr>
          <w:rFonts w:ascii="Times New Roman" w:hAnsi="Times New Roman" w:cs="Times New Roman"/>
          <w:sz w:val="26"/>
          <w:szCs w:val="26"/>
        </w:rPr>
        <w:t>In addition, t</w:t>
      </w:r>
      <w:r w:rsidR="00B422B8" w:rsidRPr="00257ACB">
        <w:rPr>
          <w:rFonts w:ascii="Times New Roman" w:hAnsi="Times New Roman" w:cs="Times New Roman"/>
          <w:sz w:val="26"/>
          <w:szCs w:val="26"/>
        </w:rPr>
        <w:t xml:space="preserve">he research mentioned above </w:t>
      </w:r>
      <w:r w:rsidR="00A86300" w:rsidRPr="00257ACB">
        <w:rPr>
          <w:rFonts w:ascii="Times New Roman" w:hAnsi="Times New Roman" w:cs="Times New Roman"/>
          <w:sz w:val="26"/>
          <w:szCs w:val="26"/>
        </w:rPr>
        <w:t>illustrated</w:t>
      </w:r>
      <w:r w:rsidR="00146E90" w:rsidRPr="00257ACB">
        <w:rPr>
          <w:rFonts w:ascii="Times New Roman" w:hAnsi="Times New Roman" w:cs="Times New Roman"/>
          <w:sz w:val="26"/>
          <w:szCs w:val="26"/>
        </w:rPr>
        <w:t xml:space="preserve"> new work patterns such as interim management, casual </w:t>
      </w:r>
      <w:r w:rsidR="00A656B3" w:rsidRPr="00257ACB">
        <w:rPr>
          <w:rFonts w:ascii="Times New Roman" w:hAnsi="Times New Roman" w:cs="Times New Roman"/>
          <w:sz w:val="26"/>
          <w:szCs w:val="26"/>
        </w:rPr>
        <w:t>work, ICT-based mobile work, crowd employment, portfolio work and collaborative employment.</w:t>
      </w:r>
      <w:r w:rsidR="00243B49">
        <w:rPr>
          <w:rStyle w:val="ae"/>
          <w:rFonts w:ascii="Times New Roman" w:hAnsi="Times New Roman" w:cs="Times New Roman"/>
          <w:sz w:val="26"/>
          <w:szCs w:val="26"/>
        </w:rPr>
        <w:footnoteReference w:id="35"/>
      </w:r>
      <w:r w:rsidR="00CA1C0C" w:rsidRPr="00257ACB">
        <w:rPr>
          <w:rFonts w:ascii="Times New Roman" w:hAnsi="Times New Roman" w:cs="Times New Roman"/>
          <w:sz w:val="26"/>
          <w:szCs w:val="26"/>
        </w:rPr>
        <w:t xml:space="preserve"> New work patterns and </w:t>
      </w:r>
      <w:proofErr w:type="spellStart"/>
      <w:r w:rsidR="00CA1C0C" w:rsidRPr="00257ACB">
        <w:rPr>
          <w:rFonts w:ascii="Times New Roman" w:hAnsi="Times New Roman" w:cs="Times New Roman"/>
          <w:sz w:val="26"/>
          <w:szCs w:val="26"/>
        </w:rPr>
        <w:t>labour</w:t>
      </w:r>
      <w:proofErr w:type="spellEnd"/>
      <w:r w:rsidR="00CA1C0C" w:rsidRPr="00257ACB">
        <w:rPr>
          <w:rFonts w:ascii="Times New Roman" w:hAnsi="Times New Roman" w:cs="Times New Roman"/>
          <w:sz w:val="26"/>
          <w:szCs w:val="26"/>
        </w:rPr>
        <w:t xml:space="preserve"> relations can be differentiated from traditional forms of employment </w:t>
      </w:r>
      <w:r w:rsidR="0041376B" w:rsidRPr="00257ACB">
        <w:rPr>
          <w:rFonts w:ascii="Times New Roman" w:hAnsi="Times New Roman" w:cs="Times New Roman"/>
          <w:sz w:val="26"/>
          <w:szCs w:val="26"/>
        </w:rPr>
        <w:t xml:space="preserve">so that their characteristics </w:t>
      </w:r>
      <w:r w:rsidR="00CA1C0C" w:rsidRPr="00257ACB">
        <w:rPr>
          <w:rFonts w:ascii="Times New Roman" w:hAnsi="Times New Roman" w:cs="Times New Roman"/>
          <w:sz w:val="26"/>
          <w:szCs w:val="26"/>
        </w:rPr>
        <w:t xml:space="preserve">need to be </w:t>
      </w:r>
      <w:r w:rsidR="0041376B" w:rsidRPr="00257ACB">
        <w:rPr>
          <w:rFonts w:ascii="Times New Roman" w:hAnsi="Times New Roman" w:cs="Times New Roman"/>
          <w:sz w:val="26"/>
          <w:szCs w:val="26"/>
        </w:rPr>
        <w:t>scrutinized</w:t>
      </w:r>
      <w:r w:rsidR="00CA1C0C" w:rsidRPr="00257ACB">
        <w:rPr>
          <w:rFonts w:ascii="Times New Roman" w:hAnsi="Times New Roman" w:cs="Times New Roman"/>
          <w:sz w:val="26"/>
          <w:szCs w:val="26"/>
        </w:rPr>
        <w:t xml:space="preserve"> for </w:t>
      </w:r>
      <w:r w:rsidR="0084274F" w:rsidRPr="00257ACB">
        <w:rPr>
          <w:rFonts w:ascii="Times New Roman" w:hAnsi="Times New Roman" w:cs="Times New Roman"/>
          <w:sz w:val="26"/>
          <w:szCs w:val="26"/>
        </w:rPr>
        <w:t xml:space="preserve">adequately dealing with </w:t>
      </w:r>
      <w:proofErr w:type="spellStart"/>
      <w:r w:rsidR="0084274F" w:rsidRPr="00257ACB">
        <w:rPr>
          <w:rFonts w:ascii="Times New Roman" w:hAnsi="Times New Roman" w:cs="Times New Roman"/>
          <w:sz w:val="26"/>
          <w:szCs w:val="26"/>
        </w:rPr>
        <w:t>labour</w:t>
      </w:r>
      <w:proofErr w:type="spellEnd"/>
      <w:r w:rsidR="0084274F" w:rsidRPr="00257ACB">
        <w:rPr>
          <w:rFonts w:ascii="Times New Roman" w:hAnsi="Times New Roman" w:cs="Times New Roman"/>
          <w:sz w:val="26"/>
          <w:szCs w:val="26"/>
        </w:rPr>
        <w:t xml:space="preserve"> market issues</w:t>
      </w:r>
      <w:r w:rsidR="00CA1C0C" w:rsidRPr="00257ACB">
        <w:rPr>
          <w:rFonts w:ascii="Times New Roman" w:hAnsi="Times New Roman" w:cs="Times New Roman"/>
          <w:sz w:val="26"/>
          <w:szCs w:val="26"/>
        </w:rPr>
        <w:t xml:space="preserve">. </w:t>
      </w:r>
      <w:r w:rsidR="003705EB" w:rsidRPr="00257ACB">
        <w:rPr>
          <w:rFonts w:ascii="Times New Roman" w:hAnsi="Times New Roman" w:cs="Times New Roman"/>
          <w:sz w:val="26"/>
          <w:szCs w:val="26"/>
        </w:rPr>
        <w:t>I</w:t>
      </w:r>
      <w:r w:rsidR="0041376B" w:rsidRPr="00257ACB">
        <w:rPr>
          <w:rFonts w:ascii="Times New Roman" w:hAnsi="Times New Roman" w:cs="Times New Roman"/>
          <w:sz w:val="26"/>
          <w:szCs w:val="26"/>
        </w:rPr>
        <w:t>t explains i</w:t>
      </w:r>
      <w:r w:rsidR="003705EB" w:rsidRPr="00257ACB">
        <w:rPr>
          <w:rFonts w:ascii="Times New Roman" w:hAnsi="Times New Roman" w:cs="Times New Roman"/>
          <w:sz w:val="26"/>
          <w:szCs w:val="26"/>
        </w:rPr>
        <w:t>n interim management</w:t>
      </w:r>
      <w:r w:rsidR="00E17585" w:rsidRPr="00257ACB">
        <w:rPr>
          <w:rFonts w:ascii="Times New Roman" w:hAnsi="Times New Roman" w:cs="Times New Roman"/>
          <w:sz w:val="26"/>
          <w:szCs w:val="26"/>
        </w:rPr>
        <w:t>,</w:t>
      </w:r>
      <w:r w:rsidR="003705EB" w:rsidRPr="00257ACB">
        <w:rPr>
          <w:rFonts w:ascii="Times New Roman" w:hAnsi="Times New Roman" w:cs="Times New Roman"/>
          <w:sz w:val="26"/>
          <w:szCs w:val="26"/>
        </w:rPr>
        <w:t xml:space="preserve"> a worker is hired for a temporary </w:t>
      </w:r>
      <w:proofErr w:type="gramStart"/>
      <w:r w:rsidR="003705EB" w:rsidRPr="00257ACB">
        <w:rPr>
          <w:rFonts w:ascii="Times New Roman" w:hAnsi="Times New Roman" w:cs="Times New Roman"/>
          <w:sz w:val="26"/>
          <w:szCs w:val="26"/>
        </w:rPr>
        <w:t>period of time</w:t>
      </w:r>
      <w:proofErr w:type="gramEnd"/>
      <w:r w:rsidR="003705EB" w:rsidRPr="00257ACB">
        <w:rPr>
          <w:rFonts w:ascii="Times New Roman" w:hAnsi="Times New Roman" w:cs="Times New Roman"/>
          <w:sz w:val="26"/>
          <w:szCs w:val="26"/>
        </w:rPr>
        <w:t xml:space="preserve"> by an employer, often to conduct a specific project or solve a specific problem. </w:t>
      </w:r>
      <w:r w:rsidR="0041376B" w:rsidRPr="00257ACB">
        <w:rPr>
          <w:rFonts w:ascii="Times New Roman" w:hAnsi="Times New Roman" w:cs="Times New Roman"/>
          <w:sz w:val="26"/>
          <w:szCs w:val="26"/>
        </w:rPr>
        <w:t xml:space="preserve">In </w:t>
      </w:r>
      <w:r w:rsidR="0084274F" w:rsidRPr="00257ACB">
        <w:rPr>
          <w:rFonts w:ascii="Times New Roman" w:hAnsi="Times New Roman" w:cs="Times New Roman"/>
          <w:sz w:val="26"/>
          <w:szCs w:val="26"/>
        </w:rPr>
        <w:t xml:space="preserve">the </w:t>
      </w:r>
      <w:proofErr w:type="spellStart"/>
      <w:r w:rsidR="0084274F" w:rsidRPr="00257ACB">
        <w:rPr>
          <w:rFonts w:ascii="Times New Roman" w:hAnsi="Times New Roman" w:cs="Times New Roman"/>
          <w:sz w:val="26"/>
          <w:szCs w:val="26"/>
        </w:rPr>
        <w:t>labour</w:t>
      </w:r>
      <w:proofErr w:type="spellEnd"/>
      <w:r w:rsidR="0084274F" w:rsidRPr="00257ACB">
        <w:rPr>
          <w:rFonts w:ascii="Times New Roman" w:hAnsi="Times New Roman" w:cs="Times New Roman"/>
          <w:sz w:val="26"/>
          <w:szCs w:val="26"/>
        </w:rPr>
        <w:t xml:space="preserve"> relations of the</w:t>
      </w:r>
      <w:r w:rsidR="002210CE" w:rsidRPr="00257ACB">
        <w:rPr>
          <w:rFonts w:ascii="Times New Roman" w:hAnsi="Times New Roman" w:cs="Times New Roman"/>
          <w:sz w:val="26"/>
          <w:szCs w:val="26"/>
        </w:rPr>
        <w:t xml:space="preserve"> interim management worker has employee status </w:t>
      </w:r>
      <w:r w:rsidR="00C87ED6" w:rsidRPr="00257ACB">
        <w:rPr>
          <w:rFonts w:ascii="Times New Roman" w:hAnsi="Times New Roman" w:cs="Times New Roman"/>
          <w:sz w:val="26"/>
          <w:szCs w:val="26"/>
        </w:rPr>
        <w:t>but</w:t>
      </w:r>
      <w:r w:rsidR="002210CE" w:rsidRPr="00257ACB">
        <w:rPr>
          <w:rFonts w:ascii="Times New Roman" w:hAnsi="Times New Roman" w:cs="Times New Roman"/>
          <w:sz w:val="26"/>
          <w:szCs w:val="26"/>
        </w:rPr>
        <w:t xml:space="preserve"> not</w:t>
      </w:r>
      <w:r w:rsidR="007C1318" w:rsidRPr="00257ACB">
        <w:rPr>
          <w:rFonts w:ascii="Times New Roman" w:hAnsi="Times New Roman" w:cs="Times New Roman"/>
          <w:sz w:val="26"/>
          <w:szCs w:val="26"/>
        </w:rPr>
        <w:t xml:space="preserve"> </w:t>
      </w:r>
      <w:r w:rsidR="00C87ED6" w:rsidRPr="00257ACB">
        <w:rPr>
          <w:rFonts w:ascii="Times New Roman" w:hAnsi="Times New Roman" w:cs="Times New Roman"/>
          <w:sz w:val="26"/>
          <w:szCs w:val="26"/>
        </w:rPr>
        <w:t xml:space="preserve">with a </w:t>
      </w:r>
      <w:r w:rsidR="002210CE" w:rsidRPr="00257ACB">
        <w:rPr>
          <w:rFonts w:ascii="Times New Roman" w:hAnsi="Times New Roman" w:cs="Times New Roman"/>
          <w:sz w:val="26"/>
          <w:szCs w:val="26"/>
        </w:rPr>
        <w:t>traditional fixed-term work arrangement.</w:t>
      </w:r>
      <w:r w:rsidR="00243B49">
        <w:rPr>
          <w:rStyle w:val="ae"/>
          <w:rFonts w:ascii="Times New Roman" w:hAnsi="Times New Roman" w:cs="Times New Roman"/>
          <w:sz w:val="26"/>
          <w:szCs w:val="26"/>
        </w:rPr>
        <w:footnoteReference w:id="36"/>
      </w:r>
      <w:r w:rsidR="0084274F" w:rsidRPr="00257ACB">
        <w:rPr>
          <w:rFonts w:ascii="Times New Roman" w:hAnsi="Times New Roman" w:cs="Times New Roman"/>
          <w:sz w:val="26"/>
          <w:szCs w:val="26"/>
        </w:rPr>
        <w:t xml:space="preserve"> I</w:t>
      </w:r>
      <w:r w:rsidR="00F06FEE" w:rsidRPr="00257ACB">
        <w:rPr>
          <w:rFonts w:ascii="Times New Roman" w:hAnsi="Times New Roman" w:cs="Times New Roman"/>
          <w:sz w:val="26"/>
          <w:szCs w:val="26"/>
        </w:rPr>
        <w:t>n the casual work the employer is not obliged to provide workers with work in regular basis</w:t>
      </w:r>
      <w:r w:rsidR="002C2D2A" w:rsidRPr="00257ACB">
        <w:rPr>
          <w:rFonts w:ascii="Times New Roman" w:hAnsi="Times New Roman" w:cs="Times New Roman"/>
          <w:sz w:val="26"/>
          <w:szCs w:val="26"/>
        </w:rPr>
        <w:t xml:space="preserve"> </w:t>
      </w:r>
      <w:r w:rsidR="00F06FEE" w:rsidRPr="00257ACB">
        <w:rPr>
          <w:rFonts w:ascii="Times New Roman" w:hAnsi="Times New Roman" w:cs="Times New Roman"/>
          <w:sz w:val="26"/>
          <w:szCs w:val="26"/>
        </w:rPr>
        <w:t>but has the flexibility to call on them when needed.</w:t>
      </w:r>
      <w:r w:rsidR="00243B49">
        <w:rPr>
          <w:rStyle w:val="ae"/>
          <w:rFonts w:ascii="Times New Roman" w:hAnsi="Times New Roman" w:cs="Times New Roman"/>
          <w:sz w:val="26"/>
          <w:szCs w:val="26"/>
        </w:rPr>
        <w:footnoteReference w:id="37"/>
      </w:r>
      <w:r w:rsidR="004B53C6" w:rsidRPr="00257ACB">
        <w:rPr>
          <w:rFonts w:ascii="Times New Roman" w:hAnsi="Times New Roman" w:cs="Times New Roman"/>
          <w:sz w:val="26"/>
          <w:szCs w:val="26"/>
        </w:rPr>
        <w:t xml:space="preserve"> This resear</w:t>
      </w:r>
      <w:r w:rsidR="00325267" w:rsidRPr="00257ACB">
        <w:rPr>
          <w:rFonts w:ascii="Times New Roman" w:hAnsi="Times New Roman" w:cs="Times New Roman"/>
          <w:sz w:val="26"/>
          <w:szCs w:val="26"/>
        </w:rPr>
        <w:t xml:space="preserve">ch </w:t>
      </w:r>
      <w:r w:rsidR="00C87ED6" w:rsidRPr="00257ACB">
        <w:rPr>
          <w:rFonts w:ascii="Times New Roman" w:hAnsi="Times New Roman" w:cs="Times New Roman"/>
          <w:sz w:val="26"/>
          <w:szCs w:val="26"/>
        </w:rPr>
        <w:t xml:space="preserve">differentiated </w:t>
      </w:r>
      <w:r w:rsidR="00325267" w:rsidRPr="00257ACB">
        <w:rPr>
          <w:rFonts w:ascii="Times New Roman" w:hAnsi="Times New Roman" w:cs="Times New Roman"/>
          <w:sz w:val="26"/>
          <w:szCs w:val="26"/>
        </w:rPr>
        <w:t xml:space="preserve">two types of this employment form. Intermittent work involves an employer </w:t>
      </w:r>
      <w:r w:rsidR="00C87ED6" w:rsidRPr="00257ACB">
        <w:rPr>
          <w:rFonts w:ascii="Times New Roman" w:hAnsi="Times New Roman" w:cs="Times New Roman"/>
          <w:sz w:val="26"/>
          <w:szCs w:val="26"/>
        </w:rPr>
        <w:t xml:space="preserve">arranging </w:t>
      </w:r>
      <w:r w:rsidR="00325267" w:rsidRPr="00257ACB">
        <w:rPr>
          <w:rFonts w:ascii="Times New Roman" w:hAnsi="Times New Roman" w:cs="Times New Roman"/>
          <w:sz w:val="26"/>
          <w:szCs w:val="26"/>
        </w:rPr>
        <w:t>workers on a regular or irregular basis to conduct a specific task</w:t>
      </w:r>
      <w:r w:rsidR="00C87ED6" w:rsidRPr="00257ACB">
        <w:rPr>
          <w:rFonts w:ascii="Times New Roman" w:hAnsi="Times New Roman" w:cs="Times New Roman"/>
          <w:sz w:val="26"/>
          <w:szCs w:val="26"/>
        </w:rPr>
        <w:t xml:space="preserve"> and t</w:t>
      </w:r>
      <w:r w:rsidR="00325267" w:rsidRPr="00257ACB">
        <w:rPr>
          <w:rFonts w:ascii="Times New Roman" w:hAnsi="Times New Roman" w:cs="Times New Roman"/>
          <w:sz w:val="26"/>
          <w:szCs w:val="26"/>
        </w:rPr>
        <w:t>h</w:t>
      </w:r>
      <w:r w:rsidR="00C87ED6" w:rsidRPr="00257ACB">
        <w:rPr>
          <w:rFonts w:ascii="Times New Roman" w:hAnsi="Times New Roman" w:cs="Times New Roman"/>
          <w:sz w:val="26"/>
          <w:szCs w:val="26"/>
        </w:rPr>
        <w:t>is</w:t>
      </w:r>
      <w:r w:rsidR="00325267" w:rsidRPr="00257ACB">
        <w:rPr>
          <w:rFonts w:ascii="Times New Roman" w:hAnsi="Times New Roman" w:cs="Times New Roman"/>
          <w:sz w:val="26"/>
          <w:szCs w:val="26"/>
        </w:rPr>
        <w:t xml:space="preserve"> employment is characterized by a fixed-term period, which either involves fulfilling a task or completing a specific number of days’ work.</w:t>
      </w:r>
      <w:r w:rsidR="00243B49">
        <w:rPr>
          <w:rStyle w:val="ae"/>
          <w:rFonts w:ascii="Times New Roman" w:hAnsi="Times New Roman" w:cs="Times New Roman"/>
          <w:sz w:val="26"/>
          <w:szCs w:val="26"/>
        </w:rPr>
        <w:footnoteReference w:id="38"/>
      </w:r>
      <w:r w:rsidR="00325267" w:rsidRPr="00257ACB">
        <w:rPr>
          <w:rFonts w:ascii="Times New Roman" w:hAnsi="Times New Roman" w:cs="Times New Roman"/>
          <w:sz w:val="26"/>
          <w:szCs w:val="26"/>
        </w:rPr>
        <w:t xml:space="preserve"> On the other hand, on-call work involves a continuous employment relationship, but the employer has </w:t>
      </w:r>
      <w:r w:rsidR="00C87ED6" w:rsidRPr="00257ACB">
        <w:rPr>
          <w:rFonts w:ascii="Times New Roman" w:hAnsi="Times New Roman" w:cs="Times New Roman"/>
          <w:sz w:val="26"/>
          <w:szCs w:val="26"/>
        </w:rPr>
        <w:t>no obligation</w:t>
      </w:r>
      <w:r w:rsidR="00282F3B" w:rsidRPr="00257ACB">
        <w:rPr>
          <w:rFonts w:ascii="Times New Roman" w:hAnsi="Times New Roman" w:cs="Times New Roman"/>
          <w:sz w:val="26"/>
          <w:szCs w:val="26"/>
        </w:rPr>
        <w:t xml:space="preserve"> of calling the employees, </w:t>
      </w:r>
      <w:r w:rsidR="0084274F" w:rsidRPr="00257ACB">
        <w:rPr>
          <w:rFonts w:ascii="Times New Roman" w:hAnsi="Times New Roman" w:cs="Times New Roman"/>
          <w:sz w:val="26"/>
          <w:szCs w:val="26"/>
        </w:rPr>
        <w:t>and</w:t>
      </w:r>
      <w:r w:rsidR="00C87ED6" w:rsidRPr="00257ACB">
        <w:rPr>
          <w:rFonts w:ascii="Times New Roman" w:hAnsi="Times New Roman" w:cs="Times New Roman"/>
          <w:sz w:val="26"/>
          <w:szCs w:val="26"/>
        </w:rPr>
        <w:t xml:space="preserve"> </w:t>
      </w:r>
      <w:r w:rsidR="0084274F" w:rsidRPr="00257ACB">
        <w:rPr>
          <w:rFonts w:ascii="Times New Roman" w:hAnsi="Times New Roman" w:cs="Times New Roman"/>
          <w:sz w:val="26"/>
          <w:szCs w:val="26"/>
        </w:rPr>
        <w:t xml:space="preserve">instead </w:t>
      </w:r>
      <w:r w:rsidR="00325267" w:rsidRPr="00257ACB">
        <w:rPr>
          <w:rFonts w:ascii="Times New Roman" w:hAnsi="Times New Roman" w:cs="Times New Roman"/>
          <w:sz w:val="26"/>
          <w:szCs w:val="26"/>
        </w:rPr>
        <w:t>the option of calling the employee in when needed.</w:t>
      </w:r>
      <w:r w:rsidR="000A4237">
        <w:rPr>
          <w:rStyle w:val="ae"/>
          <w:rFonts w:ascii="Times New Roman" w:hAnsi="Times New Roman" w:cs="Times New Roman"/>
          <w:sz w:val="26"/>
          <w:szCs w:val="26"/>
        </w:rPr>
        <w:footnoteReference w:id="39"/>
      </w:r>
      <w:r w:rsidR="00325267" w:rsidRPr="00257ACB">
        <w:rPr>
          <w:rFonts w:ascii="Times New Roman" w:hAnsi="Times New Roman" w:cs="Times New Roman"/>
          <w:sz w:val="26"/>
          <w:szCs w:val="26"/>
        </w:rPr>
        <w:t xml:space="preserve"> There </w:t>
      </w:r>
      <w:r w:rsidR="00C87ED6" w:rsidRPr="00257ACB">
        <w:rPr>
          <w:rFonts w:ascii="Times New Roman" w:hAnsi="Times New Roman" w:cs="Times New Roman"/>
          <w:sz w:val="26"/>
          <w:szCs w:val="26"/>
        </w:rPr>
        <w:t>can be</w:t>
      </w:r>
      <w:r w:rsidR="00325267" w:rsidRPr="00257ACB">
        <w:rPr>
          <w:rFonts w:ascii="Times New Roman" w:hAnsi="Times New Roman" w:cs="Times New Roman"/>
          <w:sz w:val="26"/>
          <w:szCs w:val="26"/>
        </w:rPr>
        <w:t xml:space="preserve"> employment contracts that indicate the minimum and maximum number of working hours, as well as so-called zero-hours contracts </w:t>
      </w:r>
      <w:r w:rsidR="00325267" w:rsidRPr="00257ACB">
        <w:rPr>
          <w:rFonts w:ascii="Times New Roman" w:hAnsi="Times New Roman" w:cs="Times New Roman"/>
          <w:sz w:val="26"/>
          <w:szCs w:val="26"/>
        </w:rPr>
        <w:lastRenderedPageBreak/>
        <w:t xml:space="preserve">that specify no minimum number of working hours, </w:t>
      </w:r>
      <w:r w:rsidR="00282F3B" w:rsidRPr="00257ACB">
        <w:rPr>
          <w:rFonts w:ascii="Times New Roman" w:hAnsi="Times New Roman" w:cs="Times New Roman"/>
          <w:sz w:val="26"/>
          <w:szCs w:val="26"/>
        </w:rPr>
        <w:t xml:space="preserve">in which </w:t>
      </w:r>
      <w:r w:rsidR="00325267" w:rsidRPr="00257ACB">
        <w:rPr>
          <w:rFonts w:ascii="Times New Roman" w:hAnsi="Times New Roman" w:cs="Times New Roman"/>
          <w:sz w:val="26"/>
          <w:szCs w:val="26"/>
        </w:rPr>
        <w:t>the employer is not obliged to ever call in the worker.</w:t>
      </w:r>
      <w:r w:rsidR="000A4237">
        <w:rPr>
          <w:rStyle w:val="ae"/>
          <w:rFonts w:ascii="Times New Roman" w:hAnsi="Times New Roman" w:cs="Times New Roman"/>
          <w:sz w:val="26"/>
          <w:szCs w:val="26"/>
        </w:rPr>
        <w:footnoteReference w:id="40"/>
      </w:r>
      <w:r w:rsidR="008A2D30" w:rsidRPr="00257ACB">
        <w:rPr>
          <w:rFonts w:ascii="Times New Roman" w:hAnsi="Times New Roman" w:cs="Times New Roman"/>
          <w:sz w:val="26"/>
          <w:szCs w:val="26"/>
        </w:rPr>
        <w:t xml:space="preserve"> ICT-based mobile work </w:t>
      </w:r>
      <w:r w:rsidR="00AB4F57" w:rsidRPr="00257ACB">
        <w:rPr>
          <w:rFonts w:ascii="Times New Roman" w:hAnsi="Times New Roman" w:cs="Times New Roman"/>
          <w:sz w:val="26"/>
          <w:szCs w:val="26"/>
        </w:rPr>
        <w:t>is said to refer to new work patterns ch</w:t>
      </w:r>
      <w:r w:rsidR="008A2D30" w:rsidRPr="00257ACB">
        <w:rPr>
          <w:rFonts w:ascii="Times New Roman" w:hAnsi="Times New Roman" w:cs="Times New Roman"/>
          <w:sz w:val="26"/>
          <w:szCs w:val="26"/>
        </w:rPr>
        <w:t>a</w:t>
      </w:r>
      <w:r w:rsidR="00AB4F57" w:rsidRPr="00257ACB">
        <w:rPr>
          <w:rFonts w:ascii="Times New Roman" w:hAnsi="Times New Roman" w:cs="Times New Roman"/>
          <w:sz w:val="26"/>
          <w:szCs w:val="26"/>
        </w:rPr>
        <w:t>ra</w:t>
      </w:r>
      <w:r w:rsidR="008A2D30" w:rsidRPr="00257ACB">
        <w:rPr>
          <w:rFonts w:ascii="Times New Roman" w:hAnsi="Times New Roman" w:cs="Times New Roman"/>
          <w:sz w:val="26"/>
          <w:szCs w:val="26"/>
        </w:rPr>
        <w:t>cterized by the worker (whether employee or self-employed) operating from various possible locations, supported by modern technologies</w:t>
      </w:r>
      <w:r w:rsidR="00AB4F57" w:rsidRPr="00257ACB">
        <w:rPr>
          <w:rFonts w:ascii="Times New Roman" w:hAnsi="Times New Roman" w:cs="Times New Roman"/>
          <w:sz w:val="26"/>
          <w:szCs w:val="26"/>
        </w:rPr>
        <w:t xml:space="preserve"> and</w:t>
      </w:r>
      <w:r w:rsidR="008A2D30" w:rsidRPr="00257ACB">
        <w:rPr>
          <w:rFonts w:ascii="Times New Roman" w:hAnsi="Times New Roman" w:cs="Times New Roman"/>
          <w:sz w:val="26"/>
          <w:szCs w:val="26"/>
        </w:rPr>
        <w:t xml:space="preserve"> </w:t>
      </w:r>
      <w:r w:rsidR="00AB4F57" w:rsidRPr="00257ACB">
        <w:rPr>
          <w:rFonts w:ascii="Times New Roman" w:hAnsi="Times New Roman" w:cs="Times New Roman"/>
          <w:sz w:val="26"/>
          <w:szCs w:val="26"/>
        </w:rPr>
        <w:t>various ICT devices</w:t>
      </w:r>
      <w:r w:rsidR="003E16E3" w:rsidRPr="00257ACB">
        <w:rPr>
          <w:rFonts w:ascii="Times New Roman" w:hAnsi="Times New Roman" w:cs="Times New Roman"/>
          <w:sz w:val="26"/>
          <w:szCs w:val="26"/>
        </w:rPr>
        <w:t xml:space="preserve"> which was the most commonly reported work pattern in the research mentioned above</w:t>
      </w:r>
      <w:r w:rsidR="00AB4F57" w:rsidRPr="00257ACB">
        <w:rPr>
          <w:rFonts w:ascii="Times New Roman" w:hAnsi="Times New Roman" w:cs="Times New Roman"/>
          <w:sz w:val="26"/>
          <w:szCs w:val="26"/>
        </w:rPr>
        <w:t>.</w:t>
      </w:r>
      <w:r w:rsidR="000A4237">
        <w:rPr>
          <w:rStyle w:val="ae"/>
          <w:rFonts w:ascii="Times New Roman" w:hAnsi="Times New Roman" w:cs="Times New Roman"/>
          <w:sz w:val="26"/>
          <w:szCs w:val="26"/>
        </w:rPr>
        <w:footnoteReference w:id="41"/>
      </w:r>
      <w:r w:rsidR="008A2D30" w:rsidRPr="00257ACB">
        <w:rPr>
          <w:rFonts w:ascii="Times New Roman" w:hAnsi="Times New Roman" w:cs="Times New Roman"/>
          <w:sz w:val="26"/>
          <w:szCs w:val="26"/>
        </w:rPr>
        <w:t xml:space="preserve"> </w:t>
      </w:r>
      <w:r w:rsidR="00F43B11" w:rsidRPr="00257ACB">
        <w:rPr>
          <w:rFonts w:ascii="Times New Roman" w:hAnsi="Times New Roman" w:cs="Times New Roman"/>
          <w:sz w:val="26"/>
          <w:szCs w:val="26"/>
        </w:rPr>
        <w:t>Also crowd employment is characterized by not being place-bound like the ICT-based work.</w:t>
      </w:r>
      <w:r w:rsidR="000A4237">
        <w:rPr>
          <w:rStyle w:val="ae"/>
          <w:rFonts w:ascii="Times New Roman" w:hAnsi="Times New Roman" w:cs="Times New Roman"/>
          <w:sz w:val="26"/>
          <w:szCs w:val="26"/>
        </w:rPr>
        <w:footnoteReference w:id="42"/>
      </w:r>
      <w:r w:rsidR="00F43B11" w:rsidRPr="00257ACB">
        <w:rPr>
          <w:rFonts w:ascii="Times New Roman" w:hAnsi="Times New Roman" w:cs="Times New Roman"/>
          <w:sz w:val="26"/>
          <w:szCs w:val="26"/>
        </w:rPr>
        <w:t xml:space="preserve"> Similarly, portfolio work done by the self-employed refers to situations in which they work for a large number of clients, providing just small amounts of work for each of them.</w:t>
      </w:r>
      <w:r w:rsidR="000A4237">
        <w:rPr>
          <w:rStyle w:val="ae"/>
          <w:rFonts w:ascii="Times New Roman" w:hAnsi="Times New Roman" w:cs="Times New Roman"/>
          <w:sz w:val="26"/>
          <w:szCs w:val="26"/>
        </w:rPr>
        <w:footnoteReference w:id="43"/>
      </w:r>
      <w:r w:rsidR="00F43B11" w:rsidRPr="00257ACB">
        <w:rPr>
          <w:rFonts w:ascii="Times New Roman" w:hAnsi="Times New Roman" w:cs="Times New Roman"/>
          <w:sz w:val="26"/>
          <w:szCs w:val="26"/>
        </w:rPr>
        <w:t xml:space="preserve"> At last, new patterns of self-employment in the form of new collaborative models were found in a variety of countries. In addition, there are new cooperation patterns which go beyond traditional business partner relationships such as umbrella </w:t>
      </w:r>
      <w:proofErr w:type="spellStart"/>
      <w:r w:rsidR="00F43B11" w:rsidRPr="00257ACB">
        <w:rPr>
          <w:rFonts w:ascii="Times New Roman" w:hAnsi="Times New Roman" w:cs="Times New Roman"/>
          <w:sz w:val="26"/>
          <w:szCs w:val="26"/>
        </w:rPr>
        <w:t>organisations</w:t>
      </w:r>
      <w:proofErr w:type="spellEnd"/>
      <w:r w:rsidR="00F43B11" w:rsidRPr="00257ACB">
        <w:rPr>
          <w:rFonts w:ascii="Times New Roman" w:hAnsi="Times New Roman" w:cs="Times New Roman"/>
          <w:sz w:val="26"/>
          <w:szCs w:val="26"/>
        </w:rPr>
        <w:t>, coworking and cooperatives.</w:t>
      </w:r>
      <w:r w:rsidR="00AC17F9">
        <w:rPr>
          <w:rStyle w:val="ae"/>
          <w:rFonts w:ascii="Times New Roman" w:hAnsi="Times New Roman" w:cs="Times New Roman"/>
          <w:sz w:val="26"/>
          <w:szCs w:val="26"/>
        </w:rPr>
        <w:footnoteReference w:id="44"/>
      </w:r>
      <w:r w:rsidR="005600D7" w:rsidRPr="00257ACB">
        <w:rPr>
          <w:rFonts w:ascii="Times New Roman" w:hAnsi="Times New Roman" w:cs="Times New Roman"/>
          <w:sz w:val="26"/>
          <w:szCs w:val="26"/>
        </w:rPr>
        <w:t xml:space="preserve"> </w:t>
      </w:r>
    </w:p>
    <w:p w14:paraId="0A64849B" w14:textId="77777777" w:rsidR="007472C7" w:rsidRPr="00257ACB" w:rsidRDefault="007472C7" w:rsidP="006D234D">
      <w:pPr>
        <w:pStyle w:val="a3"/>
        <w:ind w:leftChars="0" w:left="1120"/>
        <w:rPr>
          <w:rFonts w:ascii="Times New Roman" w:hAnsi="Times New Roman" w:cs="Times New Roman"/>
          <w:sz w:val="26"/>
          <w:szCs w:val="26"/>
        </w:rPr>
      </w:pPr>
    </w:p>
    <w:p w14:paraId="68168A63" w14:textId="022A3755" w:rsidR="00441FA4" w:rsidRDefault="007472C7" w:rsidP="00BC0700">
      <w:pPr>
        <w:pStyle w:val="a3"/>
        <w:numPr>
          <w:ilvl w:val="0"/>
          <w:numId w:val="5"/>
        </w:numPr>
        <w:ind w:leftChars="0"/>
        <w:rPr>
          <w:rFonts w:ascii="Times New Roman" w:hAnsi="Times New Roman" w:cs="Times New Roman"/>
          <w:sz w:val="26"/>
          <w:szCs w:val="26"/>
        </w:rPr>
      </w:pPr>
      <w:r w:rsidRPr="00257ACB">
        <w:rPr>
          <w:rFonts w:ascii="Times New Roman" w:hAnsi="Times New Roman" w:cs="Times New Roman"/>
          <w:sz w:val="26"/>
          <w:szCs w:val="26"/>
        </w:rPr>
        <w:t>N</w:t>
      </w:r>
      <w:r w:rsidR="00D401F5" w:rsidRPr="00257ACB">
        <w:rPr>
          <w:rFonts w:ascii="Times New Roman" w:hAnsi="Times New Roman" w:cs="Times New Roman"/>
          <w:sz w:val="26"/>
          <w:szCs w:val="26"/>
        </w:rPr>
        <w:t xml:space="preserve">ew employment forms and </w:t>
      </w:r>
      <w:r w:rsidR="004C7E3C" w:rsidRPr="00257ACB">
        <w:rPr>
          <w:rFonts w:ascii="Times New Roman" w:hAnsi="Times New Roman" w:cs="Times New Roman"/>
          <w:sz w:val="26"/>
          <w:szCs w:val="26"/>
        </w:rPr>
        <w:t xml:space="preserve">the </w:t>
      </w:r>
      <w:r w:rsidR="00BC3CD2" w:rsidRPr="00257ACB">
        <w:rPr>
          <w:rFonts w:ascii="Times New Roman" w:hAnsi="Times New Roman" w:cs="Times New Roman"/>
          <w:sz w:val="26"/>
          <w:szCs w:val="26"/>
        </w:rPr>
        <w:t xml:space="preserve">its </w:t>
      </w:r>
      <w:r w:rsidR="004C7E3C" w:rsidRPr="00257ACB">
        <w:rPr>
          <w:rFonts w:ascii="Times New Roman" w:hAnsi="Times New Roman" w:cs="Times New Roman"/>
          <w:sz w:val="26"/>
          <w:szCs w:val="26"/>
        </w:rPr>
        <w:t>impact</w:t>
      </w:r>
      <w:r w:rsidR="00947035" w:rsidRPr="00257ACB">
        <w:rPr>
          <w:rFonts w:ascii="Times New Roman" w:hAnsi="Times New Roman" w:cs="Times New Roman"/>
          <w:sz w:val="26"/>
          <w:szCs w:val="26"/>
        </w:rPr>
        <w:t>s</w:t>
      </w:r>
      <w:r w:rsidR="004C7E3C" w:rsidRPr="00257ACB">
        <w:rPr>
          <w:rFonts w:ascii="Times New Roman" w:hAnsi="Times New Roman" w:cs="Times New Roman"/>
          <w:sz w:val="26"/>
          <w:szCs w:val="26"/>
        </w:rPr>
        <w:t xml:space="preserve"> </w:t>
      </w:r>
      <w:r w:rsidR="00947035" w:rsidRPr="00257ACB">
        <w:rPr>
          <w:rFonts w:ascii="Times New Roman" w:hAnsi="Times New Roman" w:cs="Times New Roman"/>
          <w:sz w:val="26"/>
          <w:szCs w:val="26"/>
        </w:rPr>
        <w:t xml:space="preserve">on </w:t>
      </w:r>
      <w:proofErr w:type="spellStart"/>
      <w:r w:rsidR="00947035" w:rsidRPr="00257ACB">
        <w:rPr>
          <w:rFonts w:ascii="Times New Roman" w:hAnsi="Times New Roman" w:cs="Times New Roman"/>
          <w:sz w:val="26"/>
          <w:szCs w:val="26"/>
        </w:rPr>
        <w:t>labour</w:t>
      </w:r>
      <w:proofErr w:type="spellEnd"/>
      <w:r w:rsidR="00947035" w:rsidRPr="00257ACB">
        <w:rPr>
          <w:rFonts w:ascii="Times New Roman" w:hAnsi="Times New Roman" w:cs="Times New Roman"/>
          <w:sz w:val="26"/>
          <w:szCs w:val="26"/>
        </w:rPr>
        <w:t xml:space="preserve"> market</w:t>
      </w:r>
    </w:p>
    <w:p w14:paraId="2899649D" w14:textId="77777777" w:rsidR="00AF56C8" w:rsidRPr="00257ACB" w:rsidRDefault="00AF56C8" w:rsidP="00AF56C8">
      <w:pPr>
        <w:pStyle w:val="a3"/>
        <w:ind w:leftChars="0" w:left="1120"/>
        <w:rPr>
          <w:rFonts w:ascii="Times New Roman" w:hAnsi="Times New Roman" w:cs="Times New Roman"/>
          <w:sz w:val="26"/>
          <w:szCs w:val="26"/>
        </w:rPr>
      </w:pPr>
    </w:p>
    <w:p w14:paraId="6940DB4D" w14:textId="649B1D15" w:rsidR="00A71B9C" w:rsidRPr="00257ACB" w:rsidRDefault="00441FA4" w:rsidP="00441FA4">
      <w:pPr>
        <w:pStyle w:val="a3"/>
        <w:ind w:leftChars="0" w:left="1160"/>
        <w:rPr>
          <w:rFonts w:ascii="Times New Roman" w:hAnsi="Times New Roman" w:cs="Times New Roman"/>
          <w:sz w:val="26"/>
          <w:szCs w:val="26"/>
        </w:rPr>
      </w:pPr>
      <w:r w:rsidRPr="00257ACB">
        <w:rPr>
          <w:rFonts w:ascii="Times New Roman" w:hAnsi="Times New Roman" w:cs="Times New Roman"/>
          <w:sz w:val="26"/>
          <w:szCs w:val="26"/>
        </w:rPr>
        <w:t>Most new employment forms were shown to generally cover the whole economy and all occupations, even if in practice there could be specific sectors or occupations more relevant to certain forms of works.</w:t>
      </w:r>
      <w:r w:rsidR="00AC17F9">
        <w:rPr>
          <w:rStyle w:val="ae"/>
          <w:rFonts w:ascii="Times New Roman" w:hAnsi="Times New Roman" w:cs="Times New Roman"/>
          <w:sz w:val="26"/>
          <w:szCs w:val="26"/>
        </w:rPr>
        <w:footnoteReference w:id="45"/>
      </w:r>
      <w:r w:rsidR="007B3A02" w:rsidRPr="00257ACB">
        <w:rPr>
          <w:rFonts w:ascii="Times New Roman" w:hAnsi="Times New Roman" w:cs="Times New Roman"/>
          <w:sz w:val="26"/>
          <w:szCs w:val="26"/>
        </w:rPr>
        <w:t xml:space="preserve"> </w:t>
      </w:r>
      <w:r w:rsidR="00E67708" w:rsidRPr="00257ACB">
        <w:rPr>
          <w:rFonts w:ascii="Times New Roman" w:hAnsi="Times New Roman" w:cs="Times New Roman"/>
          <w:sz w:val="26"/>
          <w:szCs w:val="26"/>
        </w:rPr>
        <w:t>It should be not</w:t>
      </w:r>
      <w:r w:rsidR="00AC2855" w:rsidRPr="00257ACB">
        <w:rPr>
          <w:rFonts w:ascii="Times New Roman" w:hAnsi="Times New Roman" w:cs="Times New Roman"/>
          <w:sz w:val="26"/>
          <w:szCs w:val="26"/>
        </w:rPr>
        <w:t>ed</w:t>
      </w:r>
      <w:r w:rsidR="00E67708" w:rsidRPr="00257ACB">
        <w:rPr>
          <w:rFonts w:ascii="Times New Roman" w:hAnsi="Times New Roman" w:cs="Times New Roman"/>
          <w:sz w:val="26"/>
          <w:szCs w:val="26"/>
        </w:rPr>
        <w:t xml:space="preserve"> that the implications of each form of employment could vary greatly from case to case, depending on the </w:t>
      </w:r>
      <w:r w:rsidR="00C21139" w:rsidRPr="00257ACB">
        <w:rPr>
          <w:rFonts w:ascii="Times New Roman" w:hAnsi="Times New Roman" w:cs="Times New Roman"/>
          <w:sz w:val="26"/>
          <w:szCs w:val="26"/>
        </w:rPr>
        <w:t>specific relations</w:t>
      </w:r>
      <w:r w:rsidR="00E67708" w:rsidRPr="00257ACB">
        <w:rPr>
          <w:rFonts w:ascii="Times New Roman" w:hAnsi="Times New Roman" w:cs="Times New Roman"/>
          <w:sz w:val="26"/>
          <w:szCs w:val="26"/>
        </w:rPr>
        <w:t xml:space="preserve"> of employers and employees, their preferences and the bilateral </w:t>
      </w:r>
      <w:r w:rsidR="00E67708" w:rsidRPr="00257ACB">
        <w:rPr>
          <w:rFonts w:ascii="Times New Roman" w:hAnsi="Times New Roman" w:cs="Times New Roman"/>
          <w:sz w:val="26"/>
          <w:szCs w:val="26"/>
        </w:rPr>
        <w:lastRenderedPageBreak/>
        <w:t>agreements among them.</w:t>
      </w:r>
      <w:r w:rsidR="00232AD9" w:rsidRPr="00257ACB">
        <w:rPr>
          <w:rFonts w:ascii="Times New Roman" w:hAnsi="Times New Roman" w:cs="Times New Roman"/>
          <w:sz w:val="26"/>
          <w:szCs w:val="26"/>
        </w:rPr>
        <w:t xml:space="preserve"> However, </w:t>
      </w:r>
      <w:r w:rsidR="00B73A69" w:rsidRPr="00257ACB">
        <w:rPr>
          <w:rFonts w:ascii="Times New Roman" w:hAnsi="Times New Roman" w:cs="Times New Roman"/>
          <w:sz w:val="26"/>
          <w:szCs w:val="26"/>
        </w:rPr>
        <w:t xml:space="preserve">some </w:t>
      </w:r>
      <w:proofErr w:type="spellStart"/>
      <w:r w:rsidR="00B73A69" w:rsidRPr="00257ACB">
        <w:rPr>
          <w:rFonts w:ascii="Times New Roman" w:hAnsi="Times New Roman" w:cs="Times New Roman"/>
          <w:sz w:val="26"/>
          <w:szCs w:val="26"/>
        </w:rPr>
        <w:t>generalised</w:t>
      </w:r>
      <w:proofErr w:type="spellEnd"/>
      <w:r w:rsidR="00B73A69" w:rsidRPr="00257ACB">
        <w:rPr>
          <w:rFonts w:ascii="Times New Roman" w:hAnsi="Times New Roman" w:cs="Times New Roman"/>
          <w:sz w:val="26"/>
          <w:szCs w:val="26"/>
        </w:rPr>
        <w:t xml:space="preserve"> characteristics</w:t>
      </w:r>
      <w:r w:rsidR="00E832B7" w:rsidRPr="00257ACB">
        <w:rPr>
          <w:rFonts w:ascii="Times New Roman" w:hAnsi="Times New Roman" w:cs="Times New Roman"/>
          <w:sz w:val="26"/>
          <w:szCs w:val="26"/>
        </w:rPr>
        <w:t xml:space="preserve"> could be derived </w:t>
      </w:r>
      <w:r w:rsidR="00B73A69" w:rsidRPr="00257ACB">
        <w:rPr>
          <w:rFonts w:ascii="Times New Roman" w:hAnsi="Times New Roman" w:cs="Times New Roman"/>
          <w:sz w:val="26"/>
          <w:szCs w:val="26"/>
        </w:rPr>
        <w:t xml:space="preserve">of </w:t>
      </w:r>
      <w:r w:rsidR="00E832B7" w:rsidRPr="00257ACB">
        <w:rPr>
          <w:rFonts w:ascii="Times New Roman" w:hAnsi="Times New Roman" w:cs="Times New Roman"/>
          <w:sz w:val="26"/>
          <w:szCs w:val="26"/>
        </w:rPr>
        <w:t xml:space="preserve">which forms of employment </w:t>
      </w:r>
      <w:r w:rsidR="003F2C20" w:rsidRPr="00257ACB">
        <w:rPr>
          <w:rFonts w:ascii="Times New Roman" w:hAnsi="Times New Roman" w:cs="Times New Roman"/>
          <w:sz w:val="26"/>
          <w:szCs w:val="26"/>
        </w:rPr>
        <w:t>would be</w:t>
      </w:r>
      <w:r w:rsidR="00DA73FE" w:rsidRPr="00257ACB">
        <w:rPr>
          <w:rFonts w:ascii="Times New Roman" w:hAnsi="Times New Roman" w:cs="Times New Roman"/>
          <w:sz w:val="26"/>
          <w:szCs w:val="26"/>
        </w:rPr>
        <w:t xml:space="preserve"> </w:t>
      </w:r>
      <w:r w:rsidR="009278B5" w:rsidRPr="00257ACB">
        <w:rPr>
          <w:rFonts w:ascii="Times New Roman" w:hAnsi="Times New Roman" w:cs="Times New Roman"/>
          <w:sz w:val="26"/>
          <w:szCs w:val="26"/>
        </w:rPr>
        <w:t>b</w:t>
      </w:r>
      <w:r w:rsidR="00DA73FE" w:rsidRPr="00257ACB">
        <w:rPr>
          <w:rFonts w:ascii="Times New Roman" w:hAnsi="Times New Roman" w:cs="Times New Roman"/>
          <w:sz w:val="26"/>
          <w:szCs w:val="26"/>
        </w:rPr>
        <w:t>eneficial not only to employers but also to employees</w:t>
      </w:r>
      <w:r w:rsidR="009278B5" w:rsidRPr="00257ACB">
        <w:rPr>
          <w:rFonts w:ascii="Times New Roman" w:hAnsi="Times New Roman" w:cs="Times New Roman"/>
          <w:sz w:val="26"/>
          <w:szCs w:val="26"/>
        </w:rPr>
        <w:t xml:space="preserve">, </w:t>
      </w:r>
      <w:r w:rsidR="00B73A69" w:rsidRPr="00257ACB">
        <w:rPr>
          <w:rFonts w:ascii="Times New Roman" w:hAnsi="Times New Roman" w:cs="Times New Roman"/>
          <w:sz w:val="26"/>
          <w:szCs w:val="26"/>
        </w:rPr>
        <w:t>and of</w:t>
      </w:r>
      <w:r w:rsidR="00DA73FE" w:rsidRPr="00257ACB">
        <w:rPr>
          <w:rFonts w:ascii="Times New Roman" w:hAnsi="Times New Roman" w:cs="Times New Roman"/>
          <w:sz w:val="26"/>
          <w:szCs w:val="26"/>
        </w:rPr>
        <w:t xml:space="preserve"> </w:t>
      </w:r>
      <w:r w:rsidR="00B73A69" w:rsidRPr="00257ACB">
        <w:rPr>
          <w:rFonts w:ascii="Times New Roman" w:hAnsi="Times New Roman" w:cs="Times New Roman"/>
          <w:sz w:val="26"/>
          <w:szCs w:val="26"/>
        </w:rPr>
        <w:t>w</w:t>
      </w:r>
      <w:r w:rsidR="00DA73FE" w:rsidRPr="00257ACB">
        <w:rPr>
          <w:rFonts w:ascii="Times New Roman" w:hAnsi="Times New Roman" w:cs="Times New Roman"/>
          <w:sz w:val="26"/>
          <w:szCs w:val="26"/>
        </w:rPr>
        <w:t>hich forms of employment can raise the concern</w:t>
      </w:r>
      <w:r w:rsidR="00B73A69" w:rsidRPr="00257ACB">
        <w:rPr>
          <w:rFonts w:ascii="Times New Roman" w:hAnsi="Times New Roman" w:cs="Times New Roman"/>
          <w:sz w:val="26"/>
          <w:szCs w:val="26"/>
        </w:rPr>
        <w:t>s</w:t>
      </w:r>
      <w:r w:rsidR="00DA73FE" w:rsidRPr="00257ACB">
        <w:rPr>
          <w:rFonts w:ascii="Times New Roman" w:hAnsi="Times New Roman" w:cs="Times New Roman"/>
          <w:sz w:val="26"/>
          <w:szCs w:val="26"/>
        </w:rPr>
        <w:t xml:space="preserve"> in regards with job </w:t>
      </w:r>
      <w:r w:rsidR="009278B5" w:rsidRPr="00257ACB">
        <w:rPr>
          <w:rFonts w:ascii="Times New Roman" w:hAnsi="Times New Roman" w:cs="Times New Roman"/>
          <w:sz w:val="26"/>
          <w:szCs w:val="26"/>
        </w:rPr>
        <w:t>security</w:t>
      </w:r>
      <w:r w:rsidR="00DA73FE" w:rsidRPr="00257ACB">
        <w:rPr>
          <w:rFonts w:ascii="Times New Roman" w:hAnsi="Times New Roman" w:cs="Times New Roman"/>
          <w:sz w:val="26"/>
          <w:szCs w:val="26"/>
        </w:rPr>
        <w:t xml:space="preserve"> and workers protection.</w:t>
      </w:r>
      <w:r w:rsidR="004C5C3F" w:rsidRPr="00257ACB">
        <w:rPr>
          <w:rFonts w:ascii="Times New Roman" w:hAnsi="Times New Roman" w:cs="Times New Roman"/>
          <w:sz w:val="26"/>
          <w:szCs w:val="26"/>
        </w:rPr>
        <w:t xml:space="preserve"> </w:t>
      </w:r>
      <w:r w:rsidR="00947035" w:rsidRPr="00257ACB">
        <w:rPr>
          <w:rFonts w:ascii="Times New Roman" w:hAnsi="Times New Roman" w:cs="Times New Roman"/>
          <w:sz w:val="26"/>
          <w:szCs w:val="26"/>
        </w:rPr>
        <w:t xml:space="preserve">Regarding </w:t>
      </w:r>
      <w:r w:rsidR="0084294D" w:rsidRPr="00257ACB">
        <w:rPr>
          <w:rFonts w:ascii="Times New Roman" w:hAnsi="Times New Roman" w:cs="Times New Roman"/>
          <w:sz w:val="26"/>
          <w:szCs w:val="26"/>
        </w:rPr>
        <w:t xml:space="preserve">the positive effects on </w:t>
      </w:r>
      <w:proofErr w:type="spellStart"/>
      <w:r w:rsidR="00947035" w:rsidRPr="00257ACB">
        <w:rPr>
          <w:rFonts w:ascii="Times New Roman" w:hAnsi="Times New Roman" w:cs="Times New Roman"/>
          <w:sz w:val="26"/>
          <w:szCs w:val="26"/>
        </w:rPr>
        <w:t>labour</w:t>
      </w:r>
      <w:proofErr w:type="spellEnd"/>
      <w:r w:rsidR="00947035" w:rsidRPr="00257ACB">
        <w:rPr>
          <w:rFonts w:ascii="Times New Roman" w:hAnsi="Times New Roman" w:cs="Times New Roman"/>
          <w:sz w:val="26"/>
          <w:szCs w:val="26"/>
        </w:rPr>
        <w:t xml:space="preserve"> market, </w:t>
      </w:r>
      <w:proofErr w:type="gramStart"/>
      <w:r w:rsidR="00947035" w:rsidRPr="00257ACB">
        <w:rPr>
          <w:rFonts w:ascii="Times New Roman" w:hAnsi="Times New Roman" w:cs="Times New Roman"/>
          <w:sz w:val="26"/>
          <w:szCs w:val="26"/>
        </w:rPr>
        <w:t>all of</w:t>
      </w:r>
      <w:proofErr w:type="gramEnd"/>
      <w:r w:rsidR="00947035" w:rsidRPr="00257ACB">
        <w:rPr>
          <w:rFonts w:ascii="Times New Roman" w:hAnsi="Times New Roman" w:cs="Times New Roman"/>
          <w:sz w:val="26"/>
          <w:szCs w:val="26"/>
        </w:rPr>
        <w:t xml:space="preserve"> the new employment forms identified in the research mentioned above can be said to have potential positive effects on </w:t>
      </w:r>
      <w:proofErr w:type="spellStart"/>
      <w:r w:rsidR="00947035" w:rsidRPr="00257ACB">
        <w:rPr>
          <w:rFonts w:ascii="Times New Roman" w:hAnsi="Times New Roman" w:cs="Times New Roman"/>
          <w:sz w:val="26"/>
          <w:szCs w:val="26"/>
        </w:rPr>
        <w:t>labour</w:t>
      </w:r>
      <w:proofErr w:type="spellEnd"/>
      <w:r w:rsidR="00947035" w:rsidRPr="00257ACB">
        <w:rPr>
          <w:rFonts w:ascii="Times New Roman" w:hAnsi="Times New Roman" w:cs="Times New Roman"/>
          <w:sz w:val="26"/>
          <w:szCs w:val="26"/>
        </w:rPr>
        <w:t xml:space="preserve"> market integration of specific groups of workers.</w:t>
      </w:r>
    </w:p>
    <w:p w14:paraId="60758E1E" w14:textId="71521E2E" w:rsidR="00B67CC4" w:rsidRPr="00257ACB" w:rsidRDefault="002348D0" w:rsidP="00441FA4">
      <w:pPr>
        <w:pStyle w:val="a3"/>
        <w:ind w:leftChars="0" w:left="1160"/>
        <w:rPr>
          <w:rFonts w:ascii="Times New Roman" w:hAnsi="Times New Roman" w:cs="Times New Roman"/>
          <w:sz w:val="26"/>
          <w:szCs w:val="26"/>
        </w:rPr>
      </w:pPr>
      <w:r w:rsidRPr="00257ACB">
        <w:rPr>
          <w:rFonts w:ascii="Times New Roman" w:hAnsi="Times New Roman" w:cs="Times New Roman"/>
          <w:sz w:val="26"/>
          <w:szCs w:val="26"/>
        </w:rPr>
        <w:t xml:space="preserve">The new employment forms such as job sharing, casual work and voucher-based work can be said to have positive impacts on </w:t>
      </w:r>
      <w:proofErr w:type="spellStart"/>
      <w:r w:rsidRPr="00257ACB">
        <w:rPr>
          <w:rFonts w:ascii="Times New Roman" w:hAnsi="Times New Roman" w:cs="Times New Roman"/>
          <w:sz w:val="26"/>
          <w:szCs w:val="26"/>
        </w:rPr>
        <w:t>labour</w:t>
      </w:r>
      <w:proofErr w:type="spellEnd"/>
      <w:r w:rsidRPr="00257ACB">
        <w:rPr>
          <w:rFonts w:ascii="Times New Roman" w:hAnsi="Times New Roman" w:cs="Times New Roman"/>
          <w:sz w:val="26"/>
          <w:szCs w:val="26"/>
        </w:rPr>
        <w:t xml:space="preserve"> market integration. </w:t>
      </w:r>
      <w:proofErr w:type="gramStart"/>
      <w:r w:rsidRPr="00257ACB">
        <w:rPr>
          <w:rFonts w:ascii="Times New Roman" w:hAnsi="Times New Roman" w:cs="Times New Roman"/>
          <w:sz w:val="26"/>
          <w:szCs w:val="26"/>
        </w:rPr>
        <w:t>First of all</w:t>
      </w:r>
      <w:proofErr w:type="gramEnd"/>
      <w:r w:rsidRPr="00257ACB">
        <w:rPr>
          <w:rFonts w:ascii="Times New Roman" w:hAnsi="Times New Roman" w:cs="Times New Roman"/>
          <w:sz w:val="26"/>
          <w:szCs w:val="26"/>
        </w:rPr>
        <w:t xml:space="preserve">, </w:t>
      </w:r>
      <w:r w:rsidR="00DF2887" w:rsidRPr="00257ACB">
        <w:rPr>
          <w:rFonts w:ascii="Times New Roman" w:hAnsi="Times New Roman" w:cs="Times New Roman"/>
          <w:sz w:val="26"/>
          <w:szCs w:val="26"/>
        </w:rPr>
        <w:t>job sharing, casual work and voucher-based work</w:t>
      </w:r>
      <w:r w:rsidRPr="00257ACB">
        <w:rPr>
          <w:rFonts w:ascii="Times New Roman" w:hAnsi="Times New Roman" w:cs="Times New Roman"/>
          <w:sz w:val="26"/>
          <w:szCs w:val="26"/>
        </w:rPr>
        <w:t xml:space="preserve"> mainly relate to people who cannot</w:t>
      </w:r>
      <w:r w:rsidR="00A71B9C" w:rsidRPr="00257ACB">
        <w:rPr>
          <w:rFonts w:ascii="Times New Roman" w:hAnsi="Times New Roman" w:cs="Times New Roman"/>
          <w:sz w:val="26"/>
          <w:szCs w:val="26"/>
        </w:rPr>
        <w:t xml:space="preserve"> or do not want to do a full-time job.</w:t>
      </w:r>
      <w:r w:rsidR="00AC17F9">
        <w:rPr>
          <w:rStyle w:val="ae"/>
          <w:rFonts w:ascii="Times New Roman" w:hAnsi="Times New Roman" w:cs="Times New Roman"/>
          <w:sz w:val="26"/>
          <w:szCs w:val="26"/>
        </w:rPr>
        <w:footnoteReference w:id="46"/>
      </w:r>
      <w:r w:rsidR="00A71B9C" w:rsidRPr="00257ACB">
        <w:rPr>
          <w:rFonts w:ascii="Times New Roman" w:hAnsi="Times New Roman" w:cs="Times New Roman"/>
          <w:sz w:val="26"/>
          <w:szCs w:val="26"/>
        </w:rPr>
        <w:t xml:space="preserve"> </w:t>
      </w:r>
      <w:r w:rsidR="0034253C" w:rsidRPr="00257ACB">
        <w:rPr>
          <w:rFonts w:ascii="Times New Roman" w:hAnsi="Times New Roman" w:cs="Times New Roman"/>
          <w:sz w:val="26"/>
          <w:szCs w:val="26"/>
        </w:rPr>
        <w:t>New employment forms such as the casual</w:t>
      </w:r>
      <w:r w:rsidR="00A71B9C" w:rsidRPr="00257ACB">
        <w:rPr>
          <w:rFonts w:ascii="Times New Roman" w:hAnsi="Times New Roman" w:cs="Times New Roman"/>
          <w:sz w:val="26"/>
          <w:szCs w:val="26"/>
        </w:rPr>
        <w:t xml:space="preserve"> work and crowd employment</w:t>
      </w:r>
      <w:r w:rsidR="0034253C" w:rsidRPr="00257ACB">
        <w:rPr>
          <w:rFonts w:ascii="Times New Roman" w:hAnsi="Times New Roman" w:cs="Times New Roman"/>
          <w:sz w:val="26"/>
          <w:szCs w:val="26"/>
        </w:rPr>
        <w:t xml:space="preserve"> could</w:t>
      </w:r>
      <w:r w:rsidR="00A71B9C" w:rsidRPr="00257ACB">
        <w:rPr>
          <w:rFonts w:ascii="Times New Roman" w:hAnsi="Times New Roman" w:cs="Times New Roman"/>
          <w:sz w:val="26"/>
          <w:szCs w:val="26"/>
        </w:rPr>
        <w:t xml:space="preserve"> offer</w:t>
      </w:r>
      <w:r w:rsidR="0034253C" w:rsidRPr="00257ACB">
        <w:rPr>
          <w:rFonts w:ascii="Times New Roman" w:hAnsi="Times New Roman" w:cs="Times New Roman"/>
          <w:sz w:val="26"/>
          <w:szCs w:val="26"/>
        </w:rPr>
        <w:t xml:space="preserve"> more</w:t>
      </w:r>
      <w:r w:rsidR="00A71B9C" w:rsidRPr="00257ACB">
        <w:rPr>
          <w:rFonts w:ascii="Times New Roman" w:hAnsi="Times New Roman" w:cs="Times New Roman"/>
          <w:sz w:val="26"/>
          <w:szCs w:val="26"/>
        </w:rPr>
        <w:t xml:space="preserve"> job opportunities to </w:t>
      </w:r>
      <w:r w:rsidR="00324346" w:rsidRPr="00257ACB">
        <w:rPr>
          <w:rFonts w:ascii="Times New Roman" w:hAnsi="Times New Roman" w:cs="Times New Roman"/>
          <w:sz w:val="26"/>
          <w:szCs w:val="26"/>
        </w:rPr>
        <w:t xml:space="preserve">the market, giving </w:t>
      </w:r>
      <w:r w:rsidR="0055711B" w:rsidRPr="00257ACB">
        <w:rPr>
          <w:rFonts w:ascii="Times New Roman" w:hAnsi="Times New Roman" w:cs="Times New Roman"/>
          <w:sz w:val="26"/>
          <w:szCs w:val="26"/>
        </w:rPr>
        <w:t xml:space="preserve">job seekers </w:t>
      </w:r>
      <w:r w:rsidR="00324346" w:rsidRPr="00257ACB">
        <w:rPr>
          <w:rFonts w:ascii="Times New Roman" w:hAnsi="Times New Roman" w:cs="Times New Roman"/>
          <w:sz w:val="26"/>
          <w:szCs w:val="26"/>
        </w:rPr>
        <w:t>access to work experience.</w:t>
      </w:r>
      <w:r w:rsidR="00A71B9C" w:rsidRPr="00257ACB">
        <w:rPr>
          <w:rFonts w:ascii="Times New Roman" w:hAnsi="Times New Roman" w:cs="Times New Roman"/>
          <w:sz w:val="26"/>
          <w:szCs w:val="26"/>
        </w:rPr>
        <w:t xml:space="preserve"> </w:t>
      </w:r>
      <w:r w:rsidR="00324346" w:rsidRPr="00257ACB">
        <w:rPr>
          <w:rFonts w:ascii="Times New Roman" w:hAnsi="Times New Roman" w:cs="Times New Roman"/>
          <w:sz w:val="26"/>
          <w:szCs w:val="26"/>
        </w:rPr>
        <w:t xml:space="preserve">In addition, flexible work form such as the employee sharing, </w:t>
      </w:r>
      <w:r w:rsidR="002652D8" w:rsidRPr="00257ACB">
        <w:rPr>
          <w:rFonts w:ascii="Times New Roman" w:hAnsi="Times New Roman" w:cs="Times New Roman"/>
          <w:sz w:val="26"/>
          <w:szCs w:val="26"/>
        </w:rPr>
        <w:t xml:space="preserve">ICT-based mobile work and crowd employment can be </w:t>
      </w:r>
      <w:r w:rsidR="0055711B" w:rsidRPr="00257ACB">
        <w:rPr>
          <w:rFonts w:ascii="Times New Roman" w:hAnsi="Times New Roman" w:cs="Times New Roman"/>
          <w:sz w:val="26"/>
          <w:szCs w:val="26"/>
        </w:rPr>
        <w:t xml:space="preserve">also </w:t>
      </w:r>
      <w:r w:rsidR="002652D8" w:rsidRPr="00257ACB">
        <w:rPr>
          <w:rFonts w:ascii="Times New Roman" w:hAnsi="Times New Roman" w:cs="Times New Roman"/>
          <w:sz w:val="26"/>
          <w:szCs w:val="26"/>
        </w:rPr>
        <w:t>beneficial for workers</w:t>
      </w:r>
      <w:r w:rsidR="00F56375" w:rsidRPr="00257ACB">
        <w:rPr>
          <w:rFonts w:ascii="Times New Roman" w:hAnsi="Times New Roman" w:cs="Times New Roman"/>
          <w:sz w:val="26"/>
          <w:szCs w:val="26"/>
        </w:rPr>
        <w:t xml:space="preserve"> or job seekers in remote distance with limited job opportunities to fine their workplace</w:t>
      </w:r>
      <w:r w:rsidR="0055711B" w:rsidRPr="00257ACB">
        <w:rPr>
          <w:rFonts w:ascii="Times New Roman" w:hAnsi="Times New Roman" w:cs="Times New Roman"/>
          <w:sz w:val="26"/>
          <w:szCs w:val="26"/>
        </w:rPr>
        <w:t>.</w:t>
      </w:r>
      <w:r w:rsidR="00AC17F9">
        <w:rPr>
          <w:rStyle w:val="ae"/>
          <w:rFonts w:ascii="Times New Roman" w:hAnsi="Times New Roman" w:cs="Times New Roman"/>
          <w:sz w:val="26"/>
          <w:szCs w:val="26"/>
        </w:rPr>
        <w:footnoteReference w:id="47"/>
      </w:r>
      <w:r w:rsidR="00850F5F" w:rsidRPr="00257ACB">
        <w:rPr>
          <w:rFonts w:ascii="Times New Roman" w:hAnsi="Times New Roman" w:cs="Times New Roman"/>
          <w:sz w:val="26"/>
          <w:szCs w:val="26"/>
        </w:rPr>
        <w:t xml:space="preserve"> </w:t>
      </w:r>
      <w:r w:rsidR="003C3D98" w:rsidRPr="00257ACB">
        <w:rPr>
          <w:rFonts w:ascii="Times New Roman" w:hAnsi="Times New Roman" w:cs="Times New Roman"/>
          <w:sz w:val="26"/>
          <w:szCs w:val="26"/>
        </w:rPr>
        <w:t>That is</w:t>
      </w:r>
      <w:r w:rsidR="00765222" w:rsidRPr="00257ACB">
        <w:rPr>
          <w:rFonts w:ascii="Times New Roman" w:hAnsi="Times New Roman" w:cs="Times New Roman"/>
          <w:sz w:val="26"/>
          <w:szCs w:val="26"/>
        </w:rPr>
        <w:t xml:space="preserve">, most of emerging employment forms </w:t>
      </w:r>
      <w:r w:rsidR="003C3D98" w:rsidRPr="00257ACB">
        <w:rPr>
          <w:rFonts w:ascii="Times New Roman" w:hAnsi="Times New Roman" w:cs="Times New Roman"/>
          <w:sz w:val="26"/>
          <w:szCs w:val="26"/>
        </w:rPr>
        <w:t xml:space="preserve">such as job sharing or ICT-based mobile work especially </w:t>
      </w:r>
      <w:r w:rsidR="00765222" w:rsidRPr="00257ACB">
        <w:rPr>
          <w:rFonts w:ascii="Times New Roman" w:hAnsi="Times New Roman" w:cs="Times New Roman"/>
          <w:sz w:val="26"/>
          <w:szCs w:val="26"/>
        </w:rPr>
        <w:t xml:space="preserve">can be said to contribute to </w:t>
      </w:r>
      <w:proofErr w:type="spellStart"/>
      <w:r w:rsidR="00765222" w:rsidRPr="00257ACB">
        <w:rPr>
          <w:rFonts w:ascii="Times New Roman" w:hAnsi="Times New Roman" w:cs="Times New Roman"/>
          <w:sz w:val="26"/>
          <w:szCs w:val="26"/>
        </w:rPr>
        <w:t>labour</w:t>
      </w:r>
      <w:proofErr w:type="spellEnd"/>
      <w:r w:rsidR="00765222" w:rsidRPr="00257ACB">
        <w:rPr>
          <w:rFonts w:ascii="Times New Roman" w:hAnsi="Times New Roman" w:cs="Times New Roman"/>
          <w:sz w:val="26"/>
          <w:szCs w:val="26"/>
        </w:rPr>
        <w:t xml:space="preserve"> market innovation </w:t>
      </w:r>
      <w:r w:rsidR="003C3D98" w:rsidRPr="00257ACB">
        <w:rPr>
          <w:rFonts w:ascii="Times New Roman" w:hAnsi="Times New Roman" w:cs="Times New Roman"/>
          <w:sz w:val="26"/>
          <w:szCs w:val="26"/>
        </w:rPr>
        <w:t>and provide job opportunities better suited to the specific needs of workers.</w:t>
      </w:r>
      <w:r w:rsidR="00AC17F9">
        <w:rPr>
          <w:rStyle w:val="ae"/>
          <w:rFonts w:ascii="Times New Roman" w:hAnsi="Times New Roman" w:cs="Times New Roman"/>
          <w:sz w:val="26"/>
          <w:szCs w:val="26"/>
        </w:rPr>
        <w:footnoteReference w:id="48"/>
      </w:r>
      <w:r w:rsidR="003C3D98" w:rsidRPr="00257ACB">
        <w:rPr>
          <w:rFonts w:ascii="Times New Roman" w:hAnsi="Times New Roman" w:cs="Times New Roman"/>
          <w:sz w:val="26"/>
          <w:szCs w:val="26"/>
        </w:rPr>
        <w:t xml:space="preserve"> Furthermore, there can be seen some positive effects of portfolio work, crowd employment and collaborative employment on </w:t>
      </w:r>
      <w:proofErr w:type="spellStart"/>
      <w:r w:rsidR="003C3D98" w:rsidRPr="00257ACB">
        <w:rPr>
          <w:rFonts w:ascii="Times New Roman" w:hAnsi="Times New Roman" w:cs="Times New Roman"/>
          <w:sz w:val="26"/>
          <w:szCs w:val="26"/>
        </w:rPr>
        <w:t>labour</w:t>
      </w:r>
      <w:proofErr w:type="spellEnd"/>
      <w:r w:rsidR="003C3D98" w:rsidRPr="00257ACB">
        <w:rPr>
          <w:rFonts w:ascii="Times New Roman" w:hAnsi="Times New Roman" w:cs="Times New Roman"/>
          <w:sz w:val="26"/>
          <w:szCs w:val="26"/>
        </w:rPr>
        <w:t xml:space="preserve"> market in that those new employment forms can encourage people to try out self-employment with less entrepreneurial risk.</w:t>
      </w:r>
      <w:r w:rsidR="00AC17F9">
        <w:rPr>
          <w:rStyle w:val="ae"/>
          <w:rFonts w:ascii="Times New Roman" w:hAnsi="Times New Roman" w:cs="Times New Roman"/>
          <w:sz w:val="26"/>
          <w:szCs w:val="26"/>
        </w:rPr>
        <w:footnoteReference w:id="49"/>
      </w:r>
      <w:r w:rsidR="003C3D98" w:rsidRPr="00257ACB">
        <w:rPr>
          <w:rFonts w:ascii="Times New Roman" w:hAnsi="Times New Roman" w:cs="Times New Roman"/>
          <w:sz w:val="26"/>
          <w:szCs w:val="26"/>
        </w:rPr>
        <w:t xml:space="preserve"> </w:t>
      </w:r>
      <w:r w:rsidR="004C5C3F" w:rsidRPr="00257ACB">
        <w:rPr>
          <w:rFonts w:ascii="Times New Roman" w:hAnsi="Times New Roman" w:cs="Times New Roman"/>
          <w:sz w:val="26"/>
          <w:szCs w:val="26"/>
        </w:rPr>
        <w:t xml:space="preserve">In recent years, various companies (e.g., IBM, BMW, Audi, McDonald’s, Otto, Henkel, </w:t>
      </w:r>
      <w:proofErr w:type="spellStart"/>
      <w:r w:rsidR="004C5C3F" w:rsidRPr="00257ACB">
        <w:rPr>
          <w:rFonts w:ascii="Times New Roman" w:hAnsi="Times New Roman" w:cs="Times New Roman"/>
          <w:sz w:val="26"/>
          <w:szCs w:val="26"/>
        </w:rPr>
        <w:t>Tchibo</w:t>
      </w:r>
      <w:proofErr w:type="spellEnd"/>
      <w:r w:rsidR="004C5C3F" w:rsidRPr="00257ACB">
        <w:rPr>
          <w:rFonts w:ascii="Times New Roman" w:hAnsi="Times New Roman" w:cs="Times New Roman"/>
          <w:sz w:val="26"/>
          <w:szCs w:val="26"/>
        </w:rPr>
        <w:t>, Sennheiser, etc.) are showing a tendency to outsource diverse tasks to crowds from innovation</w:t>
      </w:r>
      <w:r w:rsidR="00BF53FC" w:rsidRPr="00257ACB">
        <w:rPr>
          <w:rFonts w:ascii="Times New Roman" w:hAnsi="Times New Roman" w:cs="Times New Roman"/>
          <w:sz w:val="26"/>
          <w:szCs w:val="26"/>
        </w:rPr>
        <w:t xml:space="preserve"> such as</w:t>
      </w:r>
      <w:r w:rsidR="004C5C3F" w:rsidRPr="00257ACB">
        <w:rPr>
          <w:rFonts w:ascii="Times New Roman" w:hAnsi="Times New Roman" w:cs="Times New Roman"/>
          <w:sz w:val="26"/>
          <w:szCs w:val="26"/>
        </w:rPr>
        <w:t xml:space="preserve"> ideas generation to marketing </w:t>
      </w:r>
      <w:r w:rsidR="00BF53FC" w:rsidRPr="00257ACB">
        <w:rPr>
          <w:rFonts w:ascii="Times New Roman" w:hAnsi="Times New Roman" w:cs="Times New Roman"/>
          <w:sz w:val="26"/>
          <w:szCs w:val="26"/>
        </w:rPr>
        <w:t xml:space="preserve">such as </w:t>
      </w:r>
      <w:r w:rsidR="004C5C3F" w:rsidRPr="00257ACB">
        <w:rPr>
          <w:rFonts w:ascii="Times New Roman" w:hAnsi="Times New Roman" w:cs="Times New Roman"/>
          <w:sz w:val="26"/>
          <w:szCs w:val="26"/>
        </w:rPr>
        <w:t>designing logos, advertising slogans and general support tasks such as execution of calculations.</w:t>
      </w:r>
      <w:r w:rsidR="00AC17F9">
        <w:rPr>
          <w:rStyle w:val="ae"/>
          <w:rFonts w:ascii="Times New Roman" w:hAnsi="Times New Roman" w:cs="Times New Roman"/>
          <w:sz w:val="26"/>
          <w:szCs w:val="26"/>
        </w:rPr>
        <w:footnoteReference w:id="50"/>
      </w:r>
      <w:r w:rsidR="004C5C3F" w:rsidRPr="00257ACB">
        <w:rPr>
          <w:rFonts w:ascii="Times New Roman" w:hAnsi="Times New Roman" w:cs="Times New Roman"/>
          <w:sz w:val="26"/>
          <w:szCs w:val="26"/>
        </w:rPr>
        <w:t xml:space="preserve"> </w:t>
      </w:r>
      <w:r w:rsidR="004302B2" w:rsidRPr="00257ACB">
        <w:rPr>
          <w:rFonts w:ascii="Times New Roman" w:hAnsi="Times New Roman" w:cs="Times New Roman"/>
          <w:sz w:val="26"/>
          <w:szCs w:val="26"/>
        </w:rPr>
        <w:t xml:space="preserve">Numerous </w:t>
      </w:r>
      <w:r w:rsidR="004302B2" w:rsidRPr="00257ACB">
        <w:rPr>
          <w:rFonts w:ascii="Times New Roman" w:hAnsi="Times New Roman" w:cs="Times New Roman"/>
          <w:sz w:val="26"/>
          <w:szCs w:val="26"/>
        </w:rPr>
        <w:lastRenderedPageBreak/>
        <w:t>researchers identify great potential for companies in the opening up of internal business processes to the crowd</w:t>
      </w:r>
      <w:r w:rsidR="00570AC8" w:rsidRPr="00257ACB">
        <w:rPr>
          <w:rFonts w:ascii="Times New Roman" w:hAnsi="Times New Roman" w:cs="Times New Roman"/>
          <w:sz w:val="26"/>
          <w:szCs w:val="26"/>
        </w:rPr>
        <w:t>,</w:t>
      </w:r>
      <w:r w:rsidR="00AC17F9">
        <w:rPr>
          <w:rStyle w:val="ae"/>
          <w:rFonts w:ascii="Times New Roman" w:hAnsi="Times New Roman" w:cs="Times New Roman"/>
          <w:sz w:val="26"/>
          <w:szCs w:val="26"/>
        </w:rPr>
        <w:footnoteReference w:id="51"/>
      </w:r>
      <w:r w:rsidR="00570AC8" w:rsidRPr="00257ACB">
        <w:rPr>
          <w:rFonts w:ascii="Times New Roman" w:hAnsi="Times New Roman" w:cs="Times New Roman"/>
          <w:sz w:val="26"/>
          <w:szCs w:val="26"/>
        </w:rPr>
        <w:t xml:space="preserve"> while others speak of ‘reaching a new evolutionary level in terms of business value creation’</w:t>
      </w:r>
      <w:r w:rsidR="00AC17F9">
        <w:rPr>
          <w:rStyle w:val="ae"/>
          <w:rFonts w:ascii="Times New Roman" w:hAnsi="Times New Roman" w:cs="Times New Roman"/>
          <w:sz w:val="26"/>
          <w:szCs w:val="26"/>
        </w:rPr>
        <w:footnoteReference w:id="52"/>
      </w:r>
      <w:r w:rsidR="00570AC8" w:rsidRPr="00257ACB">
        <w:rPr>
          <w:rFonts w:ascii="Times New Roman" w:hAnsi="Times New Roman" w:cs="Times New Roman"/>
          <w:sz w:val="26"/>
          <w:szCs w:val="26"/>
        </w:rPr>
        <w:t xml:space="preserve"> through use of the potential of the crowd.</w:t>
      </w:r>
      <w:r w:rsidR="006B2EC5" w:rsidRPr="00257ACB">
        <w:rPr>
          <w:rFonts w:ascii="Times New Roman" w:hAnsi="Times New Roman" w:cs="Times New Roman"/>
          <w:sz w:val="26"/>
          <w:szCs w:val="26"/>
        </w:rPr>
        <w:t xml:space="preserve"> On the other hand, </w:t>
      </w:r>
      <w:r w:rsidR="004C44C0" w:rsidRPr="00257ACB">
        <w:rPr>
          <w:rFonts w:ascii="Times New Roman" w:hAnsi="Times New Roman" w:cs="Times New Roman"/>
          <w:sz w:val="26"/>
          <w:szCs w:val="26"/>
        </w:rPr>
        <w:t xml:space="preserve">it should be noted that in many researches, the risks associated with crowd work, both for crowd workers (internal crowdsourcing) and companies, have been critically discussed. </w:t>
      </w:r>
      <w:r w:rsidR="00F21FE7" w:rsidRPr="00257ACB">
        <w:rPr>
          <w:rFonts w:ascii="Times New Roman" w:hAnsi="Times New Roman" w:cs="Times New Roman"/>
          <w:sz w:val="26"/>
          <w:szCs w:val="26"/>
        </w:rPr>
        <w:t xml:space="preserve">For example, </w:t>
      </w:r>
      <w:r w:rsidR="00782549" w:rsidRPr="00257ACB">
        <w:rPr>
          <w:rFonts w:ascii="Times New Roman" w:hAnsi="Times New Roman" w:cs="Times New Roman"/>
          <w:sz w:val="26"/>
          <w:szCs w:val="26"/>
        </w:rPr>
        <w:t xml:space="preserve">some research result attracted </w:t>
      </w:r>
      <w:r w:rsidR="00F21FE7" w:rsidRPr="00257ACB">
        <w:rPr>
          <w:rFonts w:ascii="Times New Roman" w:hAnsi="Times New Roman" w:cs="Times New Roman"/>
          <w:sz w:val="26"/>
          <w:szCs w:val="26"/>
        </w:rPr>
        <w:t>our attention to the emergence of ‘digit</w:t>
      </w:r>
      <w:r w:rsidR="007D56AF" w:rsidRPr="00257ACB">
        <w:rPr>
          <w:rFonts w:ascii="Times New Roman" w:hAnsi="Times New Roman" w:cs="Times New Roman"/>
          <w:sz w:val="26"/>
          <w:szCs w:val="26"/>
        </w:rPr>
        <w:t>al sweatshops’, because the remuneration of crowd workers can sometimes be very low an</w:t>
      </w:r>
      <w:r w:rsidR="00457ECC" w:rsidRPr="00257ACB">
        <w:rPr>
          <w:rFonts w:ascii="Times New Roman" w:hAnsi="Times New Roman" w:cs="Times New Roman"/>
          <w:sz w:val="26"/>
          <w:szCs w:val="26"/>
        </w:rPr>
        <w:t xml:space="preserve">d is also </w:t>
      </w:r>
      <w:r w:rsidR="007D56AF" w:rsidRPr="00257ACB">
        <w:rPr>
          <w:rFonts w:ascii="Times New Roman" w:hAnsi="Times New Roman" w:cs="Times New Roman"/>
          <w:sz w:val="26"/>
          <w:szCs w:val="26"/>
        </w:rPr>
        <w:t>insecure.</w:t>
      </w:r>
      <w:r w:rsidR="00AC17F9">
        <w:rPr>
          <w:rStyle w:val="ae"/>
          <w:rFonts w:ascii="Times New Roman" w:hAnsi="Times New Roman" w:cs="Times New Roman"/>
          <w:sz w:val="26"/>
          <w:szCs w:val="26"/>
        </w:rPr>
        <w:footnoteReference w:id="53"/>
      </w:r>
      <w:r w:rsidR="00F27D8E" w:rsidRPr="00257ACB">
        <w:rPr>
          <w:rFonts w:ascii="Times New Roman" w:hAnsi="Times New Roman" w:cs="Times New Roman"/>
          <w:sz w:val="26"/>
          <w:szCs w:val="26"/>
        </w:rPr>
        <w:t xml:space="preserve"> Moreover, </w:t>
      </w:r>
      <w:r w:rsidR="00782549" w:rsidRPr="00257ACB">
        <w:rPr>
          <w:rFonts w:ascii="Times New Roman" w:hAnsi="Times New Roman" w:cs="Times New Roman"/>
          <w:sz w:val="26"/>
          <w:szCs w:val="26"/>
        </w:rPr>
        <w:t xml:space="preserve">there could be risks for </w:t>
      </w:r>
      <w:r w:rsidR="00F27D8E" w:rsidRPr="00257ACB">
        <w:rPr>
          <w:rFonts w:ascii="Times New Roman" w:hAnsi="Times New Roman" w:cs="Times New Roman"/>
          <w:sz w:val="26"/>
          <w:szCs w:val="26"/>
        </w:rPr>
        <w:t xml:space="preserve">companies that internal knowledge </w:t>
      </w:r>
      <w:r w:rsidR="00782549" w:rsidRPr="00257ACB">
        <w:rPr>
          <w:rFonts w:ascii="Times New Roman" w:hAnsi="Times New Roman" w:cs="Times New Roman"/>
          <w:sz w:val="26"/>
          <w:szCs w:val="26"/>
        </w:rPr>
        <w:t>can leave</w:t>
      </w:r>
      <w:r w:rsidR="00F27D8E" w:rsidRPr="00257ACB">
        <w:rPr>
          <w:rFonts w:ascii="Times New Roman" w:hAnsi="Times New Roman" w:cs="Times New Roman"/>
          <w:sz w:val="26"/>
          <w:szCs w:val="26"/>
        </w:rPr>
        <w:t xml:space="preserve"> the company via crowdsourcing</w:t>
      </w:r>
      <w:r w:rsidR="005350D9" w:rsidRPr="00257ACB">
        <w:rPr>
          <w:rFonts w:ascii="Times New Roman" w:hAnsi="Times New Roman" w:cs="Times New Roman"/>
          <w:sz w:val="26"/>
          <w:szCs w:val="26"/>
        </w:rPr>
        <w:t xml:space="preserve"> or that difficulties emerge in relation to the control of the work processes.</w:t>
      </w:r>
      <w:r w:rsidR="00AC17F9">
        <w:rPr>
          <w:rStyle w:val="ae"/>
          <w:rFonts w:ascii="Times New Roman" w:hAnsi="Times New Roman" w:cs="Times New Roman"/>
          <w:sz w:val="26"/>
          <w:szCs w:val="26"/>
        </w:rPr>
        <w:footnoteReference w:id="54"/>
      </w:r>
      <w:r w:rsidR="005350D9" w:rsidRPr="00257ACB">
        <w:rPr>
          <w:rFonts w:ascii="Times New Roman" w:hAnsi="Times New Roman" w:cs="Times New Roman"/>
          <w:sz w:val="26"/>
          <w:szCs w:val="26"/>
        </w:rPr>
        <w:t xml:space="preserve"> </w:t>
      </w:r>
      <w:r w:rsidR="00150BE1" w:rsidRPr="00257ACB">
        <w:rPr>
          <w:rFonts w:ascii="Times New Roman" w:hAnsi="Times New Roman" w:cs="Times New Roman"/>
          <w:sz w:val="26"/>
          <w:szCs w:val="26"/>
        </w:rPr>
        <w:t xml:space="preserve">That is, considerable </w:t>
      </w:r>
      <w:r w:rsidR="000A69E6" w:rsidRPr="00257ACB">
        <w:rPr>
          <w:rFonts w:ascii="Times New Roman" w:hAnsi="Times New Roman" w:cs="Times New Roman"/>
          <w:sz w:val="26"/>
          <w:szCs w:val="26"/>
        </w:rPr>
        <w:t>amount</w:t>
      </w:r>
      <w:r w:rsidR="008D7D63" w:rsidRPr="00257ACB">
        <w:rPr>
          <w:rFonts w:ascii="Times New Roman" w:hAnsi="Times New Roman" w:cs="Times New Roman"/>
          <w:sz w:val="26"/>
          <w:szCs w:val="26"/>
        </w:rPr>
        <w:t xml:space="preserve"> </w:t>
      </w:r>
      <w:r w:rsidR="000A69E6" w:rsidRPr="00257ACB">
        <w:rPr>
          <w:rFonts w:ascii="Times New Roman" w:hAnsi="Times New Roman" w:cs="Times New Roman"/>
          <w:sz w:val="26"/>
          <w:szCs w:val="26"/>
        </w:rPr>
        <w:t xml:space="preserve">of </w:t>
      </w:r>
      <w:proofErr w:type="spellStart"/>
      <w:r w:rsidR="00150BE1" w:rsidRPr="00257ACB">
        <w:rPr>
          <w:rFonts w:ascii="Times New Roman" w:hAnsi="Times New Roman" w:cs="Times New Roman"/>
          <w:sz w:val="26"/>
          <w:szCs w:val="26"/>
        </w:rPr>
        <w:t>researches</w:t>
      </w:r>
      <w:proofErr w:type="spellEnd"/>
      <w:r w:rsidR="00150BE1" w:rsidRPr="00257ACB">
        <w:rPr>
          <w:rFonts w:ascii="Times New Roman" w:hAnsi="Times New Roman" w:cs="Times New Roman"/>
          <w:sz w:val="26"/>
          <w:szCs w:val="26"/>
        </w:rPr>
        <w:t xml:space="preserve"> have found that</w:t>
      </w:r>
      <w:r w:rsidR="00B654B2" w:rsidRPr="00257ACB">
        <w:rPr>
          <w:rFonts w:ascii="Times New Roman" w:hAnsi="Times New Roman" w:cs="Times New Roman"/>
          <w:sz w:val="26"/>
          <w:szCs w:val="26"/>
        </w:rPr>
        <w:t xml:space="preserve"> some new employment forms have potential opportunities not only for employers but also for workers</w:t>
      </w:r>
      <w:r w:rsidR="00150BE1" w:rsidRPr="00257ACB">
        <w:rPr>
          <w:rFonts w:ascii="Times New Roman" w:hAnsi="Times New Roman" w:cs="Times New Roman"/>
          <w:sz w:val="26"/>
          <w:szCs w:val="26"/>
        </w:rPr>
        <w:t xml:space="preserve">. </w:t>
      </w:r>
      <w:r w:rsidR="00F56375" w:rsidRPr="00257ACB">
        <w:rPr>
          <w:rFonts w:ascii="Times New Roman" w:hAnsi="Times New Roman" w:cs="Times New Roman"/>
          <w:sz w:val="26"/>
          <w:szCs w:val="26"/>
        </w:rPr>
        <w:t xml:space="preserve">On the other hand, </w:t>
      </w:r>
      <w:r w:rsidR="0042632C" w:rsidRPr="00257ACB">
        <w:rPr>
          <w:rFonts w:ascii="Times New Roman" w:hAnsi="Times New Roman" w:cs="Times New Roman"/>
          <w:sz w:val="26"/>
          <w:szCs w:val="26"/>
        </w:rPr>
        <w:t>it can also be argued that the effects of these new employment forms</w:t>
      </w:r>
      <w:r w:rsidR="00A4417D" w:rsidRPr="00257ACB">
        <w:rPr>
          <w:rFonts w:ascii="Times New Roman" w:hAnsi="Times New Roman" w:cs="Times New Roman"/>
          <w:sz w:val="26"/>
          <w:szCs w:val="26"/>
        </w:rPr>
        <w:t xml:space="preserve"> </w:t>
      </w:r>
      <w:r w:rsidR="0042632C" w:rsidRPr="00257ACB">
        <w:rPr>
          <w:rFonts w:ascii="Times New Roman" w:hAnsi="Times New Roman" w:cs="Times New Roman"/>
          <w:sz w:val="26"/>
          <w:szCs w:val="26"/>
        </w:rPr>
        <w:t>would be rather limited in the job creation.</w:t>
      </w:r>
      <w:r w:rsidR="00AC17F9">
        <w:rPr>
          <w:rStyle w:val="ae"/>
          <w:rFonts w:ascii="Times New Roman" w:hAnsi="Times New Roman" w:cs="Times New Roman"/>
          <w:sz w:val="26"/>
          <w:szCs w:val="26"/>
        </w:rPr>
        <w:footnoteReference w:id="55"/>
      </w:r>
      <w:r w:rsidR="00FB4FE8" w:rsidRPr="00257ACB">
        <w:rPr>
          <w:rFonts w:ascii="Times New Roman" w:hAnsi="Times New Roman" w:cs="Times New Roman"/>
          <w:sz w:val="26"/>
          <w:szCs w:val="26"/>
        </w:rPr>
        <w:t xml:space="preserve"> Among various new employment forms, employee sharing seems to have real job creation effect, </w:t>
      </w:r>
      <w:r w:rsidR="00A6483B" w:rsidRPr="00257ACB">
        <w:rPr>
          <w:rFonts w:ascii="Times New Roman" w:hAnsi="Times New Roman" w:cs="Times New Roman"/>
          <w:sz w:val="26"/>
          <w:szCs w:val="26"/>
        </w:rPr>
        <w:t xml:space="preserve">while </w:t>
      </w:r>
      <w:r w:rsidR="00FB4FE8" w:rsidRPr="00257ACB">
        <w:rPr>
          <w:rFonts w:ascii="Times New Roman" w:hAnsi="Times New Roman" w:cs="Times New Roman"/>
          <w:sz w:val="26"/>
          <w:szCs w:val="26"/>
        </w:rPr>
        <w:t>job sharing and interim management are said to contribute to job retention.</w:t>
      </w:r>
      <w:r w:rsidR="00AC17F9">
        <w:rPr>
          <w:rStyle w:val="ae"/>
          <w:rFonts w:ascii="Times New Roman" w:hAnsi="Times New Roman" w:cs="Times New Roman"/>
          <w:sz w:val="26"/>
          <w:szCs w:val="26"/>
        </w:rPr>
        <w:footnoteReference w:id="56"/>
      </w:r>
      <w:r w:rsidR="00A6483B" w:rsidRPr="00257ACB">
        <w:rPr>
          <w:rFonts w:ascii="Times New Roman" w:hAnsi="Times New Roman" w:cs="Times New Roman"/>
          <w:sz w:val="26"/>
          <w:szCs w:val="26"/>
        </w:rPr>
        <w:t>Voucher-based work can have job creation effect, but it is also said to have potential to crowd out standard employment which is even more likely for casual work and crowd employment.</w:t>
      </w:r>
      <w:r w:rsidR="00AC17F9">
        <w:rPr>
          <w:rStyle w:val="ae"/>
          <w:rFonts w:ascii="Times New Roman" w:hAnsi="Times New Roman" w:cs="Times New Roman"/>
          <w:sz w:val="26"/>
          <w:szCs w:val="26"/>
        </w:rPr>
        <w:footnoteReference w:id="57"/>
      </w:r>
      <w:r w:rsidR="007216AB" w:rsidRPr="00257ACB">
        <w:rPr>
          <w:rFonts w:ascii="Times New Roman" w:hAnsi="Times New Roman" w:cs="Times New Roman"/>
          <w:sz w:val="26"/>
          <w:szCs w:val="26"/>
        </w:rPr>
        <w:t xml:space="preserve"> </w:t>
      </w:r>
      <w:r w:rsidR="00B73A69" w:rsidRPr="00257ACB">
        <w:rPr>
          <w:rFonts w:ascii="Times New Roman" w:hAnsi="Times New Roman" w:cs="Times New Roman"/>
          <w:sz w:val="26"/>
          <w:szCs w:val="26"/>
        </w:rPr>
        <w:t>The</w:t>
      </w:r>
      <w:r w:rsidR="00A3211C" w:rsidRPr="00257ACB">
        <w:rPr>
          <w:rFonts w:ascii="Times New Roman" w:hAnsi="Times New Roman" w:cs="Times New Roman"/>
          <w:sz w:val="26"/>
          <w:szCs w:val="26"/>
        </w:rPr>
        <w:t xml:space="preserve"> ICT-based mobile work can </w:t>
      </w:r>
      <w:r w:rsidR="00B73A69" w:rsidRPr="00257ACB">
        <w:rPr>
          <w:rFonts w:ascii="Times New Roman" w:hAnsi="Times New Roman" w:cs="Times New Roman"/>
          <w:sz w:val="26"/>
          <w:szCs w:val="26"/>
        </w:rPr>
        <w:t xml:space="preserve">provide </w:t>
      </w:r>
      <w:r w:rsidR="00B73A69" w:rsidRPr="00257ACB">
        <w:rPr>
          <w:rFonts w:ascii="Times New Roman" w:hAnsi="Times New Roman" w:cs="Times New Roman"/>
          <w:sz w:val="26"/>
          <w:szCs w:val="26"/>
        </w:rPr>
        <w:lastRenderedPageBreak/>
        <w:t>more</w:t>
      </w:r>
      <w:r w:rsidR="00A3211C" w:rsidRPr="00257ACB">
        <w:rPr>
          <w:rFonts w:ascii="Times New Roman" w:hAnsi="Times New Roman" w:cs="Times New Roman"/>
          <w:sz w:val="26"/>
          <w:szCs w:val="26"/>
        </w:rPr>
        <w:t xml:space="preserve"> advantages related to flexibility, autonomy and empowerment</w:t>
      </w:r>
      <w:r w:rsidR="00C32DD5" w:rsidRPr="00257ACB">
        <w:rPr>
          <w:rFonts w:ascii="Times New Roman" w:hAnsi="Times New Roman" w:cs="Times New Roman"/>
          <w:sz w:val="26"/>
          <w:szCs w:val="26"/>
        </w:rPr>
        <w:t xml:space="preserve"> for employees</w:t>
      </w:r>
      <w:r w:rsidR="00B73A69" w:rsidRPr="00257ACB">
        <w:rPr>
          <w:rFonts w:ascii="Times New Roman" w:hAnsi="Times New Roman" w:cs="Times New Roman"/>
          <w:sz w:val="26"/>
          <w:szCs w:val="26"/>
        </w:rPr>
        <w:t>,</w:t>
      </w:r>
      <w:r w:rsidR="00A3211C" w:rsidRPr="00257ACB">
        <w:rPr>
          <w:rFonts w:ascii="Times New Roman" w:hAnsi="Times New Roman" w:cs="Times New Roman"/>
          <w:sz w:val="26"/>
          <w:szCs w:val="26"/>
        </w:rPr>
        <w:t xml:space="preserve"> </w:t>
      </w:r>
      <w:r w:rsidR="00B73A69" w:rsidRPr="00257ACB">
        <w:rPr>
          <w:rFonts w:ascii="Times New Roman" w:hAnsi="Times New Roman" w:cs="Times New Roman"/>
          <w:sz w:val="26"/>
          <w:szCs w:val="26"/>
        </w:rPr>
        <w:t xml:space="preserve">however there would be some side effects when employees could be faced with more intensified work pressure, high stress level, increased working time, </w:t>
      </w:r>
      <w:r w:rsidR="00A3211C" w:rsidRPr="00257ACB">
        <w:rPr>
          <w:rFonts w:ascii="Times New Roman" w:hAnsi="Times New Roman" w:cs="Times New Roman"/>
          <w:sz w:val="26"/>
          <w:szCs w:val="26"/>
        </w:rPr>
        <w:t>the blurring of boundaries between work and private life and the outsourcing of traditional employer responsibilities (notably in the field of health and safety) to workers.</w:t>
      </w:r>
      <w:r w:rsidR="00AC17F9">
        <w:rPr>
          <w:rStyle w:val="ae"/>
          <w:rFonts w:ascii="Times New Roman" w:hAnsi="Times New Roman" w:cs="Times New Roman"/>
          <w:sz w:val="26"/>
          <w:szCs w:val="26"/>
        </w:rPr>
        <w:footnoteReference w:id="58"/>
      </w:r>
      <w:r w:rsidR="00C32DD5" w:rsidRPr="00257ACB">
        <w:rPr>
          <w:rFonts w:ascii="Times New Roman" w:hAnsi="Times New Roman" w:cs="Times New Roman"/>
          <w:sz w:val="26"/>
          <w:szCs w:val="26"/>
        </w:rPr>
        <w:t xml:space="preserve"> T</w:t>
      </w:r>
      <w:r w:rsidR="00275CE7" w:rsidRPr="00257ACB">
        <w:rPr>
          <w:rFonts w:ascii="Times New Roman" w:hAnsi="Times New Roman" w:cs="Times New Roman"/>
          <w:sz w:val="26"/>
          <w:szCs w:val="26"/>
        </w:rPr>
        <w:t xml:space="preserve">he casual </w:t>
      </w:r>
      <w:r w:rsidR="009278B5" w:rsidRPr="00257ACB">
        <w:rPr>
          <w:rFonts w:ascii="Times New Roman" w:hAnsi="Times New Roman" w:cs="Times New Roman"/>
          <w:sz w:val="26"/>
          <w:szCs w:val="26"/>
        </w:rPr>
        <w:t>work</w:t>
      </w:r>
      <w:r w:rsidR="00072206" w:rsidRPr="00257ACB">
        <w:rPr>
          <w:rFonts w:ascii="Times New Roman" w:hAnsi="Times New Roman" w:cs="Times New Roman"/>
          <w:sz w:val="26"/>
          <w:szCs w:val="26"/>
        </w:rPr>
        <w:t xml:space="preserve"> mentioned above is characterized by </w:t>
      </w:r>
      <w:r w:rsidR="0094123C" w:rsidRPr="00257ACB">
        <w:rPr>
          <w:rFonts w:ascii="Times New Roman" w:hAnsi="Times New Roman" w:cs="Times New Roman"/>
          <w:sz w:val="26"/>
          <w:szCs w:val="26"/>
        </w:rPr>
        <w:t>low levels of job and income security, poor social protection, little access to HR measures and in many cases, dull or repetitive work.</w:t>
      </w:r>
      <w:r w:rsidR="00AC17F9">
        <w:rPr>
          <w:rStyle w:val="ae"/>
          <w:rFonts w:ascii="Times New Roman" w:hAnsi="Times New Roman" w:cs="Times New Roman"/>
          <w:sz w:val="26"/>
          <w:szCs w:val="26"/>
        </w:rPr>
        <w:footnoteReference w:id="59"/>
      </w:r>
      <w:r w:rsidR="00C32DD5" w:rsidRPr="00257ACB">
        <w:rPr>
          <w:rFonts w:ascii="Times New Roman" w:hAnsi="Times New Roman" w:cs="Times New Roman"/>
          <w:sz w:val="26"/>
          <w:szCs w:val="26"/>
        </w:rPr>
        <w:t xml:space="preserve"> </w:t>
      </w:r>
      <w:r w:rsidR="007148BC" w:rsidRPr="00257ACB">
        <w:rPr>
          <w:rFonts w:ascii="Times New Roman" w:hAnsi="Times New Roman" w:cs="Times New Roman"/>
          <w:sz w:val="26"/>
          <w:szCs w:val="26"/>
        </w:rPr>
        <w:t xml:space="preserve">For this type of work, the high degree of flexibility </w:t>
      </w:r>
      <w:r w:rsidR="006A1125" w:rsidRPr="00257ACB">
        <w:rPr>
          <w:rFonts w:ascii="Times New Roman" w:hAnsi="Times New Roman" w:cs="Times New Roman"/>
          <w:sz w:val="26"/>
          <w:szCs w:val="26"/>
        </w:rPr>
        <w:t>could</w:t>
      </w:r>
      <w:r w:rsidR="007148BC" w:rsidRPr="00257ACB">
        <w:rPr>
          <w:rFonts w:ascii="Times New Roman" w:hAnsi="Times New Roman" w:cs="Times New Roman"/>
          <w:sz w:val="26"/>
          <w:szCs w:val="26"/>
        </w:rPr>
        <w:t xml:space="preserve"> have </w:t>
      </w:r>
      <w:r w:rsidR="00EC7AAD" w:rsidRPr="00257ACB">
        <w:rPr>
          <w:rFonts w:ascii="Times New Roman" w:hAnsi="Times New Roman" w:cs="Times New Roman"/>
          <w:sz w:val="26"/>
          <w:szCs w:val="26"/>
        </w:rPr>
        <w:t xml:space="preserve">more adverse impact on most of workers even if there might be </w:t>
      </w:r>
      <w:r w:rsidR="007148BC" w:rsidRPr="00257ACB">
        <w:rPr>
          <w:rFonts w:ascii="Times New Roman" w:hAnsi="Times New Roman" w:cs="Times New Roman"/>
          <w:sz w:val="26"/>
          <w:szCs w:val="26"/>
        </w:rPr>
        <w:t>a beneficial impact on some workers</w:t>
      </w:r>
      <w:r w:rsidR="00EC7AAD" w:rsidRPr="00257ACB">
        <w:rPr>
          <w:rFonts w:ascii="Times New Roman" w:hAnsi="Times New Roman" w:cs="Times New Roman"/>
          <w:sz w:val="26"/>
          <w:szCs w:val="26"/>
        </w:rPr>
        <w:t xml:space="preserve"> who pre</w:t>
      </w:r>
      <w:r w:rsidR="006A1125" w:rsidRPr="00257ACB">
        <w:rPr>
          <w:rFonts w:ascii="Times New Roman" w:hAnsi="Times New Roman" w:cs="Times New Roman"/>
          <w:sz w:val="26"/>
          <w:szCs w:val="26"/>
        </w:rPr>
        <w:t>fer more flexible working arrangements. Most casual workers could be faced with more</w:t>
      </w:r>
      <w:r w:rsidR="007148BC" w:rsidRPr="00257ACB">
        <w:rPr>
          <w:rFonts w:ascii="Times New Roman" w:hAnsi="Times New Roman" w:cs="Times New Roman"/>
          <w:sz w:val="26"/>
          <w:szCs w:val="26"/>
        </w:rPr>
        <w:t xml:space="preserve"> </w:t>
      </w:r>
      <w:r w:rsidR="001C42DA" w:rsidRPr="00257ACB">
        <w:rPr>
          <w:rFonts w:ascii="Times New Roman" w:hAnsi="Times New Roman" w:cs="Times New Roman"/>
          <w:sz w:val="26"/>
          <w:szCs w:val="26"/>
        </w:rPr>
        <w:t xml:space="preserve">job </w:t>
      </w:r>
      <w:r w:rsidR="007148BC" w:rsidRPr="00257ACB">
        <w:rPr>
          <w:rFonts w:ascii="Times New Roman" w:hAnsi="Times New Roman" w:cs="Times New Roman"/>
          <w:sz w:val="26"/>
          <w:szCs w:val="26"/>
        </w:rPr>
        <w:t>insecurity</w:t>
      </w:r>
      <w:r w:rsidR="001C42DA" w:rsidRPr="00257ACB">
        <w:rPr>
          <w:rFonts w:ascii="Times New Roman" w:hAnsi="Times New Roman" w:cs="Times New Roman"/>
          <w:sz w:val="26"/>
          <w:szCs w:val="26"/>
        </w:rPr>
        <w:t xml:space="preserve"> and </w:t>
      </w:r>
      <w:r w:rsidR="004930CF" w:rsidRPr="00257ACB">
        <w:rPr>
          <w:rFonts w:ascii="Times New Roman" w:hAnsi="Times New Roman" w:cs="Times New Roman"/>
          <w:sz w:val="26"/>
          <w:szCs w:val="26"/>
        </w:rPr>
        <w:t>lack of predictability</w:t>
      </w:r>
      <w:r w:rsidR="001C42DA" w:rsidRPr="00257ACB">
        <w:rPr>
          <w:rFonts w:ascii="Times New Roman" w:hAnsi="Times New Roman" w:cs="Times New Roman"/>
          <w:sz w:val="26"/>
          <w:szCs w:val="26"/>
        </w:rPr>
        <w:t xml:space="preserve"> es</w:t>
      </w:r>
      <w:r w:rsidR="007148BC" w:rsidRPr="00257ACB">
        <w:rPr>
          <w:rFonts w:ascii="Times New Roman" w:hAnsi="Times New Roman" w:cs="Times New Roman"/>
          <w:sz w:val="26"/>
          <w:szCs w:val="26"/>
        </w:rPr>
        <w:t xml:space="preserve">pecially </w:t>
      </w:r>
      <w:r w:rsidR="006A1125" w:rsidRPr="00257ACB">
        <w:rPr>
          <w:rFonts w:ascii="Times New Roman" w:hAnsi="Times New Roman" w:cs="Times New Roman"/>
          <w:sz w:val="26"/>
          <w:szCs w:val="26"/>
        </w:rPr>
        <w:t xml:space="preserve">if </w:t>
      </w:r>
      <w:r w:rsidR="007148BC" w:rsidRPr="00257ACB">
        <w:rPr>
          <w:rFonts w:ascii="Times New Roman" w:hAnsi="Times New Roman" w:cs="Times New Roman"/>
          <w:sz w:val="26"/>
          <w:szCs w:val="26"/>
        </w:rPr>
        <w:t>they would not know when they would be</w:t>
      </w:r>
      <w:r w:rsidR="00722EC4" w:rsidRPr="00257ACB">
        <w:rPr>
          <w:rFonts w:ascii="Times New Roman" w:hAnsi="Times New Roman" w:cs="Times New Roman"/>
          <w:sz w:val="26"/>
          <w:szCs w:val="26"/>
        </w:rPr>
        <w:t xml:space="preserve"> called to</w:t>
      </w:r>
      <w:r w:rsidR="007148BC" w:rsidRPr="00257ACB">
        <w:rPr>
          <w:rFonts w:ascii="Times New Roman" w:hAnsi="Times New Roman" w:cs="Times New Roman"/>
          <w:sz w:val="26"/>
          <w:szCs w:val="26"/>
        </w:rPr>
        <w:t xml:space="preserve"> work by employers</w:t>
      </w:r>
      <w:r w:rsidR="006A1125" w:rsidRPr="00257ACB">
        <w:rPr>
          <w:rFonts w:ascii="Times New Roman" w:hAnsi="Times New Roman" w:cs="Times New Roman"/>
          <w:sz w:val="26"/>
          <w:szCs w:val="26"/>
        </w:rPr>
        <w:t>.</w:t>
      </w:r>
      <w:r w:rsidR="004930CF" w:rsidRPr="00257ACB">
        <w:rPr>
          <w:rFonts w:ascii="Times New Roman" w:hAnsi="Times New Roman" w:cs="Times New Roman"/>
          <w:sz w:val="26"/>
          <w:szCs w:val="26"/>
        </w:rPr>
        <w:t xml:space="preserve"> Th</w:t>
      </w:r>
      <w:r w:rsidR="00B05890" w:rsidRPr="00257ACB">
        <w:rPr>
          <w:rFonts w:ascii="Times New Roman" w:hAnsi="Times New Roman" w:cs="Times New Roman"/>
          <w:sz w:val="26"/>
          <w:szCs w:val="26"/>
        </w:rPr>
        <w:t>erefore</w:t>
      </w:r>
      <w:r w:rsidR="004930CF" w:rsidRPr="00257ACB">
        <w:rPr>
          <w:rFonts w:ascii="Times New Roman" w:hAnsi="Times New Roman" w:cs="Times New Roman"/>
          <w:sz w:val="26"/>
          <w:szCs w:val="26"/>
        </w:rPr>
        <w:t>,</w:t>
      </w:r>
      <w:r w:rsidR="006A1125" w:rsidRPr="00257ACB">
        <w:rPr>
          <w:rFonts w:ascii="Times New Roman" w:hAnsi="Times New Roman" w:cs="Times New Roman"/>
          <w:sz w:val="26"/>
          <w:szCs w:val="26"/>
        </w:rPr>
        <w:t xml:space="preserve"> </w:t>
      </w:r>
      <w:r w:rsidR="004930CF" w:rsidRPr="00257ACB">
        <w:rPr>
          <w:rFonts w:ascii="Times New Roman" w:hAnsi="Times New Roman" w:cs="Times New Roman"/>
          <w:sz w:val="26"/>
          <w:szCs w:val="26"/>
        </w:rPr>
        <w:t xml:space="preserve">it should be noted that </w:t>
      </w:r>
      <w:r w:rsidR="006A1125" w:rsidRPr="00257ACB">
        <w:rPr>
          <w:rFonts w:ascii="Times New Roman" w:hAnsi="Times New Roman" w:cs="Times New Roman"/>
          <w:sz w:val="26"/>
          <w:szCs w:val="26"/>
        </w:rPr>
        <w:t xml:space="preserve">most casual workers would </w:t>
      </w:r>
      <w:r w:rsidR="002C7574" w:rsidRPr="00257ACB">
        <w:rPr>
          <w:rFonts w:ascii="Times New Roman" w:hAnsi="Times New Roman" w:cs="Times New Roman"/>
          <w:sz w:val="26"/>
          <w:szCs w:val="26"/>
        </w:rPr>
        <w:t xml:space="preserve">concern </w:t>
      </w:r>
      <w:r w:rsidR="006A1125" w:rsidRPr="00257ACB">
        <w:rPr>
          <w:rFonts w:ascii="Times New Roman" w:hAnsi="Times New Roman" w:cs="Times New Roman"/>
          <w:sz w:val="26"/>
          <w:szCs w:val="26"/>
        </w:rPr>
        <w:t xml:space="preserve">the </w:t>
      </w:r>
      <w:r w:rsidR="007148BC" w:rsidRPr="00257ACB">
        <w:rPr>
          <w:rFonts w:ascii="Times New Roman" w:hAnsi="Times New Roman" w:cs="Times New Roman"/>
          <w:sz w:val="26"/>
          <w:szCs w:val="26"/>
        </w:rPr>
        <w:t>higher degree of job security or job stability</w:t>
      </w:r>
      <w:r w:rsidR="006A1125" w:rsidRPr="00257ACB">
        <w:rPr>
          <w:rFonts w:ascii="Times New Roman" w:hAnsi="Times New Roman" w:cs="Times New Roman"/>
          <w:sz w:val="26"/>
          <w:szCs w:val="26"/>
        </w:rPr>
        <w:t xml:space="preserve"> </w:t>
      </w:r>
      <w:r w:rsidR="002C7574" w:rsidRPr="00257ACB">
        <w:rPr>
          <w:rFonts w:ascii="Times New Roman" w:hAnsi="Times New Roman" w:cs="Times New Roman"/>
          <w:sz w:val="26"/>
          <w:szCs w:val="26"/>
        </w:rPr>
        <w:t>more</w:t>
      </w:r>
      <w:r w:rsidR="006A1125" w:rsidRPr="00257ACB">
        <w:rPr>
          <w:rFonts w:ascii="Times New Roman" w:hAnsi="Times New Roman" w:cs="Times New Roman"/>
          <w:sz w:val="26"/>
          <w:szCs w:val="26"/>
        </w:rPr>
        <w:t xml:space="preserve"> than job flexibility.</w:t>
      </w:r>
      <w:r w:rsidR="002C7574" w:rsidRPr="00257ACB">
        <w:rPr>
          <w:rFonts w:ascii="Times New Roman" w:hAnsi="Times New Roman" w:cs="Times New Roman"/>
          <w:sz w:val="26"/>
          <w:szCs w:val="26"/>
        </w:rPr>
        <w:t xml:space="preserve"> The most</w:t>
      </w:r>
      <w:r w:rsidR="00205B17" w:rsidRPr="00257ACB">
        <w:rPr>
          <w:rFonts w:ascii="Times New Roman" w:hAnsi="Times New Roman" w:cs="Times New Roman"/>
          <w:sz w:val="26"/>
          <w:szCs w:val="26"/>
        </w:rPr>
        <w:t xml:space="preserve"> concerned </w:t>
      </w:r>
      <w:r w:rsidR="00B67CC4" w:rsidRPr="00257ACB">
        <w:rPr>
          <w:rFonts w:ascii="Times New Roman" w:hAnsi="Times New Roman" w:cs="Times New Roman"/>
          <w:sz w:val="26"/>
          <w:szCs w:val="26"/>
        </w:rPr>
        <w:t xml:space="preserve">situation </w:t>
      </w:r>
      <w:r w:rsidR="002C7574" w:rsidRPr="00257ACB">
        <w:rPr>
          <w:rFonts w:ascii="Times New Roman" w:hAnsi="Times New Roman" w:cs="Times New Roman"/>
          <w:sz w:val="26"/>
          <w:szCs w:val="26"/>
        </w:rPr>
        <w:t xml:space="preserve">under these new forms of work </w:t>
      </w:r>
      <w:r w:rsidR="00B67CC4" w:rsidRPr="00257ACB">
        <w:rPr>
          <w:rFonts w:ascii="Times New Roman" w:hAnsi="Times New Roman" w:cs="Times New Roman"/>
          <w:sz w:val="26"/>
          <w:szCs w:val="26"/>
        </w:rPr>
        <w:t xml:space="preserve">can be </w:t>
      </w:r>
      <w:r w:rsidR="000549DA" w:rsidRPr="00257ACB">
        <w:rPr>
          <w:rFonts w:ascii="Times New Roman" w:hAnsi="Times New Roman" w:cs="Times New Roman"/>
          <w:sz w:val="26"/>
          <w:szCs w:val="26"/>
        </w:rPr>
        <w:t xml:space="preserve">mentioned </w:t>
      </w:r>
      <w:r w:rsidR="00183BA7" w:rsidRPr="00257ACB">
        <w:rPr>
          <w:rFonts w:ascii="Times New Roman" w:hAnsi="Times New Roman" w:cs="Times New Roman"/>
          <w:sz w:val="26"/>
          <w:szCs w:val="26"/>
        </w:rPr>
        <w:t>the considerable lack of representation of workers which make it difficult for the workers to properly represent their interests.</w:t>
      </w:r>
      <w:r w:rsidR="004E2AFC" w:rsidRPr="00257ACB">
        <w:rPr>
          <w:rFonts w:ascii="Times New Roman" w:hAnsi="Times New Roman" w:cs="Times New Roman"/>
          <w:sz w:val="26"/>
          <w:szCs w:val="26"/>
        </w:rPr>
        <w:t xml:space="preserve"> The lack of job security or the enhanced job flexibility can produce a rather fragmented workforce which make it far more difficult for the workers to take efficient collective measures by organizing their interests.</w:t>
      </w:r>
      <w:r w:rsidR="00AC17F9">
        <w:rPr>
          <w:rStyle w:val="ae"/>
          <w:rFonts w:ascii="Times New Roman" w:hAnsi="Times New Roman" w:cs="Times New Roman"/>
          <w:sz w:val="26"/>
          <w:szCs w:val="26"/>
        </w:rPr>
        <w:footnoteReference w:id="60"/>
      </w:r>
      <w:r w:rsidR="004E2AFC" w:rsidRPr="00257ACB">
        <w:rPr>
          <w:rFonts w:ascii="Times New Roman" w:hAnsi="Times New Roman" w:cs="Times New Roman"/>
          <w:sz w:val="26"/>
          <w:szCs w:val="26"/>
        </w:rPr>
        <w:t xml:space="preserve"> </w:t>
      </w:r>
      <w:r w:rsidR="00364D9A" w:rsidRPr="00257ACB">
        <w:rPr>
          <w:rFonts w:ascii="Times New Roman" w:hAnsi="Times New Roman" w:cs="Times New Roman"/>
          <w:sz w:val="26"/>
          <w:szCs w:val="26"/>
        </w:rPr>
        <w:t xml:space="preserve">For example, </w:t>
      </w:r>
      <w:r w:rsidR="002C6F4B" w:rsidRPr="00257ACB">
        <w:rPr>
          <w:rFonts w:ascii="Times New Roman" w:hAnsi="Times New Roman" w:cs="Times New Roman"/>
          <w:sz w:val="26"/>
          <w:szCs w:val="26"/>
        </w:rPr>
        <w:t xml:space="preserve">if </w:t>
      </w:r>
      <w:r w:rsidR="00364D9A" w:rsidRPr="00257ACB">
        <w:rPr>
          <w:rFonts w:ascii="Times New Roman" w:hAnsi="Times New Roman" w:cs="Times New Roman"/>
          <w:sz w:val="26"/>
          <w:szCs w:val="26"/>
        </w:rPr>
        <w:t xml:space="preserve">casual work and voucher-based work </w:t>
      </w:r>
      <w:r w:rsidR="002C6F4B" w:rsidRPr="00257ACB">
        <w:rPr>
          <w:rFonts w:ascii="Times New Roman" w:hAnsi="Times New Roman" w:cs="Times New Roman"/>
          <w:sz w:val="26"/>
          <w:szCs w:val="26"/>
        </w:rPr>
        <w:t xml:space="preserve">forms would be widely accepted to the fragmented jobs associated with low income and limited social protection, the </w:t>
      </w:r>
      <w:proofErr w:type="spellStart"/>
      <w:r w:rsidR="002C6F4B" w:rsidRPr="00257ACB">
        <w:rPr>
          <w:rFonts w:ascii="Times New Roman" w:hAnsi="Times New Roman" w:cs="Times New Roman"/>
          <w:sz w:val="26"/>
          <w:szCs w:val="26"/>
        </w:rPr>
        <w:t>labour</w:t>
      </w:r>
      <w:proofErr w:type="spellEnd"/>
      <w:r w:rsidR="002C6F4B" w:rsidRPr="00257ACB">
        <w:rPr>
          <w:rFonts w:ascii="Times New Roman" w:hAnsi="Times New Roman" w:cs="Times New Roman"/>
          <w:sz w:val="26"/>
          <w:szCs w:val="26"/>
        </w:rPr>
        <w:t xml:space="preserve"> market segmentation would be enhanced.</w:t>
      </w:r>
      <w:r w:rsidR="00AC17F9">
        <w:rPr>
          <w:rStyle w:val="ae"/>
          <w:rFonts w:ascii="Times New Roman" w:hAnsi="Times New Roman" w:cs="Times New Roman"/>
          <w:sz w:val="26"/>
          <w:szCs w:val="26"/>
        </w:rPr>
        <w:footnoteReference w:id="61"/>
      </w:r>
      <w:r w:rsidR="002C6F4B" w:rsidRPr="00257ACB">
        <w:rPr>
          <w:rFonts w:ascii="Times New Roman" w:hAnsi="Times New Roman" w:cs="Times New Roman"/>
          <w:sz w:val="26"/>
          <w:szCs w:val="26"/>
        </w:rPr>
        <w:t xml:space="preserve"> </w:t>
      </w:r>
      <w:r w:rsidR="0060664E" w:rsidRPr="00257ACB">
        <w:rPr>
          <w:rFonts w:ascii="Times New Roman" w:hAnsi="Times New Roman" w:cs="Times New Roman"/>
          <w:sz w:val="26"/>
          <w:szCs w:val="26"/>
        </w:rPr>
        <w:t>If certain groups of workers mainly take up tho</w:t>
      </w:r>
      <w:r w:rsidR="00B924ED" w:rsidRPr="00257ACB">
        <w:rPr>
          <w:rFonts w:ascii="Times New Roman" w:hAnsi="Times New Roman" w:cs="Times New Roman"/>
          <w:sz w:val="26"/>
          <w:szCs w:val="26"/>
        </w:rPr>
        <w:t xml:space="preserve">se precarious jobs in </w:t>
      </w:r>
      <w:proofErr w:type="spellStart"/>
      <w:r w:rsidR="00B924ED" w:rsidRPr="00257ACB">
        <w:rPr>
          <w:rFonts w:ascii="Times New Roman" w:hAnsi="Times New Roman" w:cs="Times New Roman"/>
          <w:sz w:val="26"/>
          <w:szCs w:val="26"/>
        </w:rPr>
        <w:t>labour</w:t>
      </w:r>
      <w:proofErr w:type="spellEnd"/>
      <w:r w:rsidR="00B924ED" w:rsidRPr="00257ACB">
        <w:rPr>
          <w:rFonts w:ascii="Times New Roman" w:hAnsi="Times New Roman" w:cs="Times New Roman"/>
          <w:sz w:val="26"/>
          <w:szCs w:val="26"/>
        </w:rPr>
        <w:t xml:space="preserve"> market, social polarization could be </w:t>
      </w:r>
      <w:r w:rsidR="0021733F" w:rsidRPr="00257ACB">
        <w:rPr>
          <w:rFonts w:ascii="Times New Roman" w:hAnsi="Times New Roman" w:cs="Times New Roman"/>
          <w:sz w:val="26"/>
          <w:szCs w:val="26"/>
        </w:rPr>
        <w:t>another negative outcome.</w:t>
      </w:r>
      <w:r w:rsidR="00AC17F9">
        <w:rPr>
          <w:rStyle w:val="ae"/>
          <w:rFonts w:ascii="Times New Roman" w:hAnsi="Times New Roman" w:cs="Times New Roman"/>
          <w:sz w:val="26"/>
          <w:szCs w:val="26"/>
        </w:rPr>
        <w:footnoteReference w:id="62"/>
      </w:r>
      <w:r w:rsidR="0021733F" w:rsidRPr="00257ACB">
        <w:rPr>
          <w:rFonts w:ascii="Times New Roman" w:hAnsi="Times New Roman" w:cs="Times New Roman"/>
          <w:sz w:val="26"/>
          <w:szCs w:val="26"/>
        </w:rPr>
        <w:t xml:space="preserve"> </w:t>
      </w:r>
      <w:r w:rsidR="00AA25D3" w:rsidRPr="00257ACB">
        <w:rPr>
          <w:rFonts w:ascii="Times New Roman" w:hAnsi="Times New Roman" w:cs="Times New Roman"/>
          <w:sz w:val="26"/>
          <w:szCs w:val="26"/>
        </w:rPr>
        <w:t xml:space="preserve">ICT-based mobile work can </w:t>
      </w:r>
      <w:r w:rsidR="00AA25D3" w:rsidRPr="00257ACB">
        <w:rPr>
          <w:rFonts w:ascii="Times New Roman" w:hAnsi="Times New Roman" w:cs="Times New Roman"/>
          <w:sz w:val="26"/>
          <w:szCs w:val="26"/>
        </w:rPr>
        <w:lastRenderedPageBreak/>
        <w:t xml:space="preserve">involve some unexpected danger which not everyone can keep track of new technological developments and may be left behind, possibly resulting in </w:t>
      </w:r>
      <w:proofErr w:type="spellStart"/>
      <w:r w:rsidR="00AA25D3" w:rsidRPr="00257ACB">
        <w:rPr>
          <w:rFonts w:ascii="Times New Roman" w:hAnsi="Times New Roman" w:cs="Times New Roman"/>
          <w:sz w:val="26"/>
          <w:szCs w:val="26"/>
        </w:rPr>
        <w:t>labour</w:t>
      </w:r>
      <w:proofErr w:type="spellEnd"/>
      <w:r w:rsidR="00AA25D3" w:rsidRPr="00257ACB">
        <w:rPr>
          <w:rFonts w:ascii="Times New Roman" w:hAnsi="Times New Roman" w:cs="Times New Roman"/>
          <w:sz w:val="26"/>
          <w:szCs w:val="26"/>
        </w:rPr>
        <w:t xml:space="preserve"> market segmentation.</w:t>
      </w:r>
      <w:r w:rsidR="00AC17F9">
        <w:rPr>
          <w:rStyle w:val="ae"/>
          <w:rFonts w:ascii="Times New Roman" w:hAnsi="Times New Roman" w:cs="Times New Roman"/>
          <w:sz w:val="26"/>
          <w:szCs w:val="26"/>
        </w:rPr>
        <w:footnoteReference w:id="63"/>
      </w:r>
      <w:r w:rsidR="00AA25D3" w:rsidRPr="00257ACB">
        <w:rPr>
          <w:rFonts w:ascii="Times New Roman" w:hAnsi="Times New Roman" w:cs="Times New Roman"/>
          <w:sz w:val="26"/>
          <w:szCs w:val="26"/>
        </w:rPr>
        <w:t xml:space="preserve"> </w:t>
      </w:r>
      <w:r w:rsidR="00677D78" w:rsidRPr="00257ACB">
        <w:rPr>
          <w:rFonts w:ascii="Times New Roman" w:hAnsi="Times New Roman" w:cs="Times New Roman"/>
          <w:sz w:val="26"/>
          <w:szCs w:val="26"/>
        </w:rPr>
        <w:t xml:space="preserve">However, job sharing might diminish </w:t>
      </w:r>
      <w:proofErr w:type="spellStart"/>
      <w:r w:rsidR="00677D78" w:rsidRPr="00257ACB">
        <w:rPr>
          <w:rFonts w:ascii="Times New Roman" w:hAnsi="Times New Roman" w:cs="Times New Roman"/>
          <w:sz w:val="26"/>
          <w:szCs w:val="26"/>
        </w:rPr>
        <w:t>labour</w:t>
      </w:r>
      <w:proofErr w:type="spellEnd"/>
      <w:r w:rsidR="00677D78" w:rsidRPr="00257ACB">
        <w:rPr>
          <w:rFonts w:ascii="Times New Roman" w:hAnsi="Times New Roman" w:cs="Times New Roman"/>
          <w:sz w:val="26"/>
          <w:szCs w:val="26"/>
        </w:rPr>
        <w:t xml:space="preserve"> market segmentation, particularly in helping people with care responsibilities and ill health to enter or re-enter the </w:t>
      </w:r>
      <w:proofErr w:type="spellStart"/>
      <w:r w:rsidR="00677D78" w:rsidRPr="00257ACB">
        <w:rPr>
          <w:rFonts w:ascii="Times New Roman" w:hAnsi="Times New Roman" w:cs="Times New Roman"/>
          <w:sz w:val="26"/>
          <w:szCs w:val="26"/>
        </w:rPr>
        <w:t>labour</w:t>
      </w:r>
      <w:proofErr w:type="spellEnd"/>
      <w:r w:rsidR="00677D78" w:rsidRPr="00257ACB">
        <w:rPr>
          <w:rFonts w:ascii="Times New Roman" w:hAnsi="Times New Roman" w:cs="Times New Roman"/>
          <w:sz w:val="26"/>
          <w:szCs w:val="26"/>
        </w:rPr>
        <w:t xml:space="preserve"> market.</w:t>
      </w:r>
      <w:r w:rsidR="00AC17F9">
        <w:rPr>
          <w:rStyle w:val="ae"/>
          <w:rFonts w:ascii="Times New Roman" w:hAnsi="Times New Roman" w:cs="Times New Roman"/>
          <w:sz w:val="26"/>
          <w:szCs w:val="26"/>
        </w:rPr>
        <w:footnoteReference w:id="64"/>
      </w:r>
    </w:p>
    <w:p w14:paraId="29B3A2FF" w14:textId="4863C552" w:rsidR="00C214B6" w:rsidRPr="00257ACB" w:rsidRDefault="000B10FE" w:rsidP="00441FA4">
      <w:pPr>
        <w:pStyle w:val="a3"/>
        <w:ind w:leftChars="0" w:left="1160"/>
        <w:rPr>
          <w:rFonts w:ascii="Times New Roman" w:hAnsi="Times New Roman" w:cs="Times New Roman"/>
          <w:sz w:val="26"/>
          <w:szCs w:val="26"/>
        </w:rPr>
      </w:pPr>
      <w:r w:rsidRPr="00257ACB">
        <w:rPr>
          <w:rFonts w:ascii="Times New Roman" w:hAnsi="Times New Roman" w:cs="Times New Roman"/>
          <w:sz w:val="26"/>
          <w:szCs w:val="26"/>
        </w:rPr>
        <w:t xml:space="preserve">It can be said that new employment forms </w:t>
      </w:r>
      <w:r w:rsidR="001D5BD4" w:rsidRPr="00257ACB">
        <w:rPr>
          <w:rFonts w:ascii="Times New Roman" w:hAnsi="Times New Roman" w:cs="Times New Roman"/>
          <w:sz w:val="26"/>
          <w:szCs w:val="26"/>
        </w:rPr>
        <w:t>have some potential</w:t>
      </w:r>
      <w:r w:rsidRPr="00257ACB">
        <w:rPr>
          <w:rFonts w:ascii="Times New Roman" w:hAnsi="Times New Roman" w:cs="Times New Roman"/>
          <w:sz w:val="26"/>
          <w:szCs w:val="26"/>
        </w:rPr>
        <w:t xml:space="preserve"> effects on European </w:t>
      </w:r>
      <w:proofErr w:type="spellStart"/>
      <w:r w:rsidRPr="00257ACB">
        <w:rPr>
          <w:rFonts w:ascii="Times New Roman" w:hAnsi="Times New Roman" w:cs="Times New Roman"/>
          <w:sz w:val="26"/>
          <w:szCs w:val="26"/>
        </w:rPr>
        <w:t>labour</w:t>
      </w:r>
      <w:proofErr w:type="spellEnd"/>
      <w:r w:rsidRPr="00257ACB">
        <w:rPr>
          <w:rFonts w:ascii="Times New Roman" w:hAnsi="Times New Roman" w:cs="Times New Roman"/>
          <w:sz w:val="26"/>
          <w:szCs w:val="26"/>
        </w:rPr>
        <w:t xml:space="preserve"> market by transforming</w:t>
      </w:r>
      <w:r w:rsidR="001D5BD4" w:rsidRPr="00257ACB">
        <w:rPr>
          <w:rFonts w:ascii="Times New Roman" w:hAnsi="Times New Roman" w:cs="Times New Roman"/>
          <w:sz w:val="26"/>
          <w:szCs w:val="26"/>
        </w:rPr>
        <w:t xml:space="preserve"> established employment relationships and work patterns.</w:t>
      </w:r>
      <w:r w:rsidR="00AC17F9">
        <w:rPr>
          <w:rStyle w:val="ae"/>
          <w:rFonts w:ascii="Times New Roman" w:hAnsi="Times New Roman" w:cs="Times New Roman"/>
          <w:sz w:val="26"/>
          <w:szCs w:val="26"/>
        </w:rPr>
        <w:footnoteReference w:id="65"/>
      </w:r>
      <w:r w:rsidRPr="00257ACB">
        <w:rPr>
          <w:rFonts w:ascii="Times New Roman" w:hAnsi="Times New Roman" w:cs="Times New Roman"/>
          <w:sz w:val="26"/>
          <w:szCs w:val="26"/>
        </w:rPr>
        <w:t>Specifically, they can influence</w:t>
      </w:r>
      <w:r w:rsidR="001D5BD4" w:rsidRPr="00257ACB">
        <w:rPr>
          <w:rFonts w:ascii="Times New Roman" w:hAnsi="Times New Roman" w:cs="Times New Roman"/>
          <w:sz w:val="26"/>
          <w:szCs w:val="26"/>
        </w:rPr>
        <w:t xml:space="preserve"> contractual relationships (including employer versus worker responsibilities), the general understanding of a ‘job’ (bundle of tasks versus fragmented task orientation), and the place and time of work.</w:t>
      </w:r>
      <w:r w:rsidR="00AC17F9">
        <w:rPr>
          <w:rStyle w:val="ae"/>
          <w:rFonts w:ascii="Times New Roman" w:hAnsi="Times New Roman" w:cs="Times New Roman"/>
          <w:sz w:val="26"/>
          <w:szCs w:val="26"/>
        </w:rPr>
        <w:footnoteReference w:id="66"/>
      </w:r>
      <w:r w:rsidR="00061EDD" w:rsidRPr="00257ACB">
        <w:rPr>
          <w:rFonts w:ascii="Times New Roman" w:hAnsi="Times New Roman" w:cs="Times New Roman"/>
          <w:sz w:val="26"/>
          <w:szCs w:val="26"/>
        </w:rPr>
        <w:t xml:space="preserve"> Therefore, </w:t>
      </w:r>
      <w:r w:rsidR="00BF5F84" w:rsidRPr="00257ACB">
        <w:rPr>
          <w:rFonts w:ascii="Times New Roman" w:hAnsi="Times New Roman" w:cs="Times New Roman"/>
          <w:sz w:val="26"/>
          <w:szCs w:val="26"/>
        </w:rPr>
        <w:t xml:space="preserve">it needs to be questioned whether there would be any need for intervention of government authority or social partners for some of the emerging employment forms. It can be mentioned that the challenges of these forms of work, such as low social protection and job and income insecurity, are </w:t>
      </w:r>
      <w:r w:rsidR="00CD1048" w:rsidRPr="00257ACB">
        <w:rPr>
          <w:rFonts w:ascii="Times New Roman" w:hAnsi="Times New Roman" w:cs="Times New Roman"/>
          <w:sz w:val="26"/>
          <w:szCs w:val="26"/>
        </w:rPr>
        <w:t xml:space="preserve">more concerned with the general </w:t>
      </w:r>
      <w:r w:rsidR="00F344BF" w:rsidRPr="00257ACB">
        <w:rPr>
          <w:rFonts w:ascii="Times New Roman" w:hAnsi="Times New Roman" w:cs="Times New Roman"/>
          <w:sz w:val="26"/>
          <w:szCs w:val="26"/>
        </w:rPr>
        <w:t xml:space="preserve">characteristics of the </w:t>
      </w:r>
      <w:proofErr w:type="spellStart"/>
      <w:r w:rsidR="00F344BF" w:rsidRPr="00257ACB">
        <w:rPr>
          <w:rFonts w:ascii="Times New Roman" w:hAnsi="Times New Roman" w:cs="Times New Roman"/>
          <w:sz w:val="26"/>
          <w:szCs w:val="26"/>
        </w:rPr>
        <w:t>labour</w:t>
      </w:r>
      <w:proofErr w:type="spellEnd"/>
      <w:r w:rsidR="00F344BF" w:rsidRPr="00257ACB">
        <w:rPr>
          <w:rFonts w:ascii="Times New Roman" w:hAnsi="Times New Roman" w:cs="Times New Roman"/>
          <w:sz w:val="26"/>
          <w:szCs w:val="26"/>
        </w:rPr>
        <w:t xml:space="preserve"> relations in the new employment forms such as self-employment or freelance work. Therefore, rather than focusing on specific operations of working, the major </w:t>
      </w:r>
      <w:r w:rsidR="00AB36C2" w:rsidRPr="00257ACB">
        <w:rPr>
          <w:rFonts w:ascii="Times New Roman" w:hAnsi="Times New Roman" w:cs="Times New Roman"/>
          <w:sz w:val="26"/>
          <w:szCs w:val="26"/>
        </w:rPr>
        <w:t xml:space="preserve">policy issue needs to focus more on how to transform current </w:t>
      </w:r>
      <w:proofErr w:type="spellStart"/>
      <w:r w:rsidR="00AB36C2" w:rsidRPr="00257ACB">
        <w:rPr>
          <w:rFonts w:ascii="Times New Roman" w:hAnsi="Times New Roman" w:cs="Times New Roman"/>
          <w:sz w:val="26"/>
          <w:szCs w:val="26"/>
        </w:rPr>
        <w:t>labour</w:t>
      </w:r>
      <w:proofErr w:type="spellEnd"/>
      <w:r w:rsidR="00AB36C2" w:rsidRPr="00257ACB">
        <w:rPr>
          <w:rFonts w:ascii="Times New Roman" w:hAnsi="Times New Roman" w:cs="Times New Roman"/>
          <w:sz w:val="26"/>
          <w:szCs w:val="26"/>
        </w:rPr>
        <w:t xml:space="preserve"> laws through legislation or application of the current laws. In some cases, it can be stated that the </w:t>
      </w:r>
      <w:proofErr w:type="spellStart"/>
      <w:r w:rsidR="00AB36C2" w:rsidRPr="00257ACB">
        <w:rPr>
          <w:rFonts w:ascii="Times New Roman" w:hAnsi="Times New Roman" w:cs="Times New Roman"/>
          <w:sz w:val="26"/>
          <w:szCs w:val="26"/>
        </w:rPr>
        <w:t>labour</w:t>
      </w:r>
      <w:proofErr w:type="spellEnd"/>
      <w:r w:rsidR="00AB36C2" w:rsidRPr="00257ACB">
        <w:rPr>
          <w:rFonts w:ascii="Times New Roman" w:hAnsi="Times New Roman" w:cs="Times New Roman"/>
          <w:sz w:val="26"/>
          <w:szCs w:val="26"/>
        </w:rPr>
        <w:t xml:space="preserve"> market is not properly prepared to support or allow the use of beneficial new employment forms.</w:t>
      </w:r>
      <w:r w:rsidR="00B10A4A">
        <w:rPr>
          <w:rStyle w:val="ae"/>
          <w:rFonts w:ascii="Times New Roman" w:hAnsi="Times New Roman" w:cs="Times New Roman"/>
          <w:sz w:val="26"/>
          <w:szCs w:val="26"/>
        </w:rPr>
        <w:footnoteReference w:id="67"/>
      </w:r>
      <w:r w:rsidR="00AB36C2" w:rsidRPr="00257ACB">
        <w:rPr>
          <w:rFonts w:ascii="Times New Roman" w:hAnsi="Times New Roman" w:cs="Times New Roman"/>
          <w:sz w:val="26"/>
          <w:szCs w:val="26"/>
        </w:rPr>
        <w:t xml:space="preserve"> </w:t>
      </w:r>
      <w:r w:rsidR="0004470A" w:rsidRPr="00257ACB">
        <w:rPr>
          <w:rFonts w:ascii="Times New Roman" w:hAnsi="Times New Roman" w:cs="Times New Roman"/>
          <w:sz w:val="26"/>
          <w:szCs w:val="26"/>
        </w:rPr>
        <w:t xml:space="preserve"> This lack of </w:t>
      </w:r>
      <w:r w:rsidR="00793B3E" w:rsidRPr="00257ACB">
        <w:rPr>
          <w:rFonts w:ascii="Times New Roman" w:hAnsi="Times New Roman" w:cs="Times New Roman"/>
          <w:sz w:val="26"/>
          <w:szCs w:val="26"/>
        </w:rPr>
        <w:t xml:space="preserve">established </w:t>
      </w:r>
      <w:r w:rsidR="0004470A" w:rsidRPr="00257ACB">
        <w:rPr>
          <w:rFonts w:ascii="Times New Roman" w:hAnsi="Times New Roman" w:cs="Times New Roman"/>
          <w:sz w:val="26"/>
          <w:szCs w:val="26"/>
        </w:rPr>
        <w:t>regulation may be caused by cultural factors such as negative</w:t>
      </w:r>
      <w:r w:rsidR="004618AC" w:rsidRPr="00257ACB">
        <w:rPr>
          <w:rFonts w:ascii="Times New Roman" w:hAnsi="Times New Roman" w:cs="Times New Roman"/>
          <w:sz w:val="26"/>
          <w:szCs w:val="26"/>
        </w:rPr>
        <w:t xml:space="preserve"> attitudes towards or low wage levels in part-time work </w:t>
      </w:r>
      <w:r w:rsidR="00793B3E" w:rsidRPr="00257ACB">
        <w:rPr>
          <w:rFonts w:ascii="Times New Roman" w:hAnsi="Times New Roman" w:cs="Times New Roman"/>
          <w:sz w:val="26"/>
          <w:szCs w:val="26"/>
        </w:rPr>
        <w:t xml:space="preserve">especially </w:t>
      </w:r>
      <w:r w:rsidR="004618AC" w:rsidRPr="00257ACB">
        <w:rPr>
          <w:rFonts w:ascii="Times New Roman" w:hAnsi="Times New Roman" w:cs="Times New Roman"/>
          <w:sz w:val="26"/>
          <w:szCs w:val="26"/>
        </w:rPr>
        <w:t>in some eastern European Member States, which hinders the use of job sharing</w:t>
      </w:r>
      <w:r w:rsidR="007B3B23" w:rsidRPr="00257ACB">
        <w:rPr>
          <w:rFonts w:ascii="Times New Roman" w:hAnsi="Times New Roman" w:cs="Times New Roman"/>
          <w:sz w:val="26"/>
          <w:szCs w:val="26"/>
        </w:rPr>
        <w:t>.</w:t>
      </w:r>
      <w:r w:rsidR="00B10A4A">
        <w:rPr>
          <w:rStyle w:val="ae"/>
          <w:rFonts w:ascii="Times New Roman" w:hAnsi="Times New Roman" w:cs="Times New Roman"/>
          <w:sz w:val="26"/>
          <w:szCs w:val="26"/>
        </w:rPr>
        <w:footnoteReference w:id="68"/>
      </w:r>
      <w:r w:rsidR="007B3B23" w:rsidRPr="00257ACB">
        <w:rPr>
          <w:rFonts w:ascii="Times New Roman" w:hAnsi="Times New Roman" w:cs="Times New Roman"/>
          <w:sz w:val="26"/>
          <w:szCs w:val="26"/>
        </w:rPr>
        <w:t xml:space="preserve"> Existing legislation mostly </w:t>
      </w:r>
      <w:r w:rsidR="007B3B23" w:rsidRPr="00257ACB">
        <w:rPr>
          <w:rFonts w:ascii="Times New Roman" w:hAnsi="Times New Roman" w:cs="Times New Roman"/>
          <w:sz w:val="26"/>
          <w:szCs w:val="26"/>
        </w:rPr>
        <w:lastRenderedPageBreak/>
        <w:t>are based on traditional employment or service delivery contracts rather than seeking for a separate legal framework</w:t>
      </w:r>
      <w:r w:rsidR="00B13BA8" w:rsidRPr="00257ACB">
        <w:rPr>
          <w:rFonts w:ascii="Times New Roman" w:hAnsi="Times New Roman" w:cs="Times New Roman"/>
          <w:sz w:val="26"/>
          <w:szCs w:val="26"/>
        </w:rPr>
        <w:t>,</w:t>
      </w:r>
      <w:r w:rsidR="007B3B23" w:rsidRPr="00257ACB">
        <w:rPr>
          <w:rFonts w:ascii="Times New Roman" w:hAnsi="Times New Roman" w:cs="Times New Roman"/>
          <w:sz w:val="26"/>
          <w:szCs w:val="26"/>
        </w:rPr>
        <w:t xml:space="preserve"> which can limit the potential outcome of new employment forms.</w:t>
      </w:r>
      <w:r w:rsidR="00B10A4A">
        <w:rPr>
          <w:rStyle w:val="ae"/>
          <w:rFonts w:ascii="Times New Roman" w:hAnsi="Times New Roman" w:cs="Times New Roman"/>
          <w:sz w:val="26"/>
          <w:szCs w:val="26"/>
        </w:rPr>
        <w:footnoteReference w:id="69"/>
      </w:r>
      <w:r w:rsidR="007B3B23" w:rsidRPr="00257ACB">
        <w:rPr>
          <w:rFonts w:ascii="Times New Roman" w:hAnsi="Times New Roman" w:cs="Times New Roman"/>
          <w:sz w:val="26"/>
          <w:szCs w:val="26"/>
        </w:rPr>
        <w:t xml:space="preserve"> </w:t>
      </w:r>
      <w:r w:rsidR="00D30FA3" w:rsidRPr="00257ACB">
        <w:rPr>
          <w:rFonts w:ascii="Times New Roman" w:hAnsi="Times New Roman" w:cs="Times New Roman"/>
          <w:sz w:val="26"/>
          <w:szCs w:val="26"/>
        </w:rPr>
        <w:t xml:space="preserve">In addition, it can be said that </w:t>
      </w:r>
      <w:r w:rsidR="0087775B" w:rsidRPr="00257ACB">
        <w:rPr>
          <w:rFonts w:ascii="Times New Roman" w:hAnsi="Times New Roman" w:cs="Times New Roman"/>
          <w:sz w:val="26"/>
          <w:szCs w:val="26"/>
        </w:rPr>
        <w:t>there should be</w:t>
      </w:r>
      <w:r w:rsidR="009B1049" w:rsidRPr="00257ACB">
        <w:rPr>
          <w:rFonts w:ascii="Times New Roman" w:hAnsi="Times New Roman" w:cs="Times New Roman"/>
          <w:sz w:val="26"/>
          <w:szCs w:val="26"/>
        </w:rPr>
        <w:t xml:space="preserve"> the legislative and regulatory framework </w:t>
      </w:r>
      <w:r w:rsidR="00266E28" w:rsidRPr="00257ACB">
        <w:rPr>
          <w:rFonts w:ascii="Times New Roman" w:hAnsi="Times New Roman" w:cs="Times New Roman"/>
          <w:sz w:val="26"/>
          <w:szCs w:val="26"/>
        </w:rPr>
        <w:t xml:space="preserve">not only </w:t>
      </w:r>
      <w:r w:rsidR="009B1049" w:rsidRPr="00257ACB">
        <w:rPr>
          <w:rFonts w:ascii="Times New Roman" w:hAnsi="Times New Roman" w:cs="Times New Roman"/>
          <w:sz w:val="26"/>
          <w:szCs w:val="26"/>
        </w:rPr>
        <w:t xml:space="preserve">for </w:t>
      </w:r>
      <w:r w:rsidR="00266E28" w:rsidRPr="00257ACB">
        <w:rPr>
          <w:rFonts w:ascii="Times New Roman" w:hAnsi="Times New Roman" w:cs="Times New Roman"/>
          <w:sz w:val="26"/>
          <w:szCs w:val="26"/>
        </w:rPr>
        <w:t>establishing</w:t>
      </w:r>
      <w:r w:rsidR="009B1049" w:rsidRPr="00257ACB">
        <w:rPr>
          <w:rFonts w:ascii="Times New Roman" w:hAnsi="Times New Roman" w:cs="Times New Roman"/>
          <w:sz w:val="26"/>
          <w:szCs w:val="26"/>
        </w:rPr>
        <w:t xml:space="preserve"> a sound safety net for workers</w:t>
      </w:r>
      <w:r w:rsidR="00266E28" w:rsidRPr="00257ACB">
        <w:rPr>
          <w:rFonts w:ascii="Times New Roman" w:hAnsi="Times New Roman" w:cs="Times New Roman"/>
          <w:sz w:val="26"/>
          <w:szCs w:val="26"/>
        </w:rPr>
        <w:t xml:space="preserve"> when some new employment forms but also for </w:t>
      </w:r>
      <w:r w:rsidR="00A5169B" w:rsidRPr="00257ACB">
        <w:rPr>
          <w:rFonts w:ascii="Times New Roman" w:hAnsi="Times New Roman" w:cs="Times New Roman"/>
          <w:sz w:val="26"/>
          <w:szCs w:val="26"/>
        </w:rPr>
        <w:t>striking a balance between</w:t>
      </w:r>
      <w:r w:rsidR="00266E28" w:rsidRPr="00257ACB">
        <w:rPr>
          <w:rFonts w:ascii="Times New Roman" w:hAnsi="Times New Roman" w:cs="Times New Roman"/>
          <w:sz w:val="26"/>
          <w:szCs w:val="26"/>
        </w:rPr>
        <w:t xml:space="preserve"> the flexibility needed by employers and the </w:t>
      </w:r>
      <w:proofErr w:type="spellStart"/>
      <w:r w:rsidR="00A5169B" w:rsidRPr="00257ACB">
        <w:rPr>
          <w:rFonts w:ascii="Times New Roman" w:hAnsi="Times New Roman" w:cs="Times New Roman"/>
          <w:sz w:val="26"/>
          <w:szCs w:val="26"/>
        </w:rPr>
        <w:t>labour</w:t>
      </w:r>
      <w:proofErr w:type="spellEnd"/>
      <w:r w:rsidR="00A5169B" w:rsidRPr="00257ACB">
        <w:rPr>
          <w:rFonts w:ascii="Times New Roman" w:hAnsi="Times New Roman" w:cs="Times New Roman"/>
          <w:sz w:val="26"/>
          <w:szCs w:val="26"/>
        </w:rPr>
        <w:t xml:space="preserve"> protection measures required by workers. </w:t>
      </w:r>
      <w:r w:rsidR="00BC3771" w:rsidRPr="00257ACB">
        <w:rPr>
          <w:rFonts w:ascii="Times New Roman" w:hAnsi="Times New Roman" w:cs="Times New Roman"/>
          <w:sz w:val="26"/>
          <w:szCs w:val="26"/>
        </w:rPr>
        <w:t xml:space="preserve">Furthermore, the rules should be established clear and concise to make them easy to </w:t>
      </w:r>
      <w:r w:rsidR="00D94308" w:rsidRPr="00257ACB">
        <w:rPr>
          <w:rFonts w:ascii="Times New Roman" w:hAnsi="Times New Roman" w:cs="Times New Roman"/>
          <w:sz w:val="26"/>
          <w:szCs w:val="26"/>
        </w:rPr>
        <w:t>understand for employers, workers and their representatives and consultants.</w:t>
      </w:r>
      <w:r w:rsidR="00B10A4A">
        <w:rPr>
          <w:rStyle w:val="ae"/>
          <w:rFonts w:ascii="Times New Roman" w:hAnsi="Times New Roman" w:cs="Times New Roman"/>
          <w:sz w:val="26"/>
          <w:szCs w:val="26"/>
        </w:rPr>
        <w:footnoteReference w:id="70"/>
      </w:r>
      <w:r w:rsidR="00D94308" w:rsidRPr="00257ACB">
        <w:rPr>
          <w:rFonts w:ascii="Times New Roman" w:hAnsi="Times New Roman" w:cs="Times New Roman"/>
          <w:sz w:val="26"/>
          <w:szCs w:val="26"/>
        </w:rPr>
        <w:t xml:space="preserve"> </w:t>
      </w:r>
      <w:r w:rsidR="00BC3771" w:rsidRPr="00257ACB">
        <w:rPr>
          <w:rFonts w:ascii="Times New Roman" w:hAnsi="Times New Roman" w:cs="Times New Roman"/>
          <w:sz w:val="26"/>
          <w:szCs w:val="26"/>
        </w:rPr>
        <w:t>The stability of legislation and application should be secured because f</w:t>
      </w:r>
      <w:r w:rsidR="00D94308" w:rsidRPr="00257ACB">
        <w:rPr>
          <w:rFonts w:ascii="Times New Roman" w:hAnsi="Times New Roman" w:cs="Times New Roman"/>
          <w:sz w:val="26"/>
          <w:szCs w:val="26"/>
        </w:rPr>
        <w:t>requent legislative changes cause confusion and a feeling of insecurity among the target groups.</w:t>
      </w:r>
      <w:r w:rsidR="00B10A4A">
        <w:rPr>
          <w:rStyle w:val="ae"/>
          <w:rFonts w:ascii="Times New Roman" w:hAnsi="Times New Roman" w:cs="Times New Roman"/>
          <w:sz w:val="26"/>
          <w:szCs w:val="26"/>
        </w:rPr>
        <w:footnoteReference w:id="71"/>
      </w:r>
      <w:r w:rsidR="00BA3771" w:rsidRPr="00257ACB">
        <w:rPr>
          <w:rFonts w:ascii="Times New Roman" w:hAnsi="Times New Roman" w:cs="Times New Roman"/>
          <w:sz w:val="26"/>
          <w:szCs w:val="26"/>
        </w:rPr>
        <w:t xml:space="preserve"> </w:t>
      </w:r>
      <w:r w:rsidR="00EC150A" w:rsidRPr="00257ACB">
        <w:rPr>
          <w:rFonts w:ascii="Times New Roman" w:hAnsi="Times New Roman" w:cs="Times New Roman"/>
          <w:sz w:val="26"/>
          <w:szCs w:val="26"/>
        </w:rPr>
        <w:t xml:space="preserve">It can be acknowledged that new forms of employment have been developed </w:t>
      </w:r>
      <w:r w:rsidR="000E4728" w:rsidRPr="00257ACB">
        <w:rPr>
          <w:rFonts w:ascii="Times New Roman" w:hAnsi="Times New Roman" w:cs="Times New Roman"/>
          <w:sz w:val="26"/>
          <w:szCs w:val="26"/>
        </w:rPr>
        <w:t xml:space="preserve">in </w:t>
      </w:r>
      <w:proofErr w:type="spellStart"/>
      <w:r w:rsidR="000E4728" w:rsidRPr="00257ACB">
        <w:rPr>
          <w:rFonts w:ascii="Times New Roman" w:hAnsi="Times New Roman" w:cs="Times New Roman"/>
          <w:sz w:val="26"/>
          <w:szCs w:val="26"/>
        </w:rPr>
        <w:t>labour</w:t>
      </w:r>
      <w:proofErr w:type="spellEnd"/>
      <w:r w:rsidR="000E4728" w:rsidRPr="00257ACB">
        <w:rPr>
          <w:rFonts w:ascii="Times New Roman" w:hAnsi="Times New Roman" w:cs="Times New Roman"/>
          <w:sz w:val="26"/>
          <w:szCs w:val="26"/>
        </w:rPr>
        <w:t xml:space="preserve"> market </w:t>
      </w:r>
      <w:r w:rsidR="00EC150A" w:rsidRPr="00257ACB">
        <w:rPr>
          <w:rFonts w:ascii="Times New Roman" w:hAnsi="Times New Roman" w:cs="Times New Roman"/>
          <w:sz w:val="26"/>
          <w:szCs w:val="26"/>
        </w:rPr>
        <w:t>because they have</w:t>
      </w:r>
      <w:r w:rsidR="000E4728" w:rsidRPr="00257ACB">
        <w:rPr>
          <w:rFonts w:ascii="Times New Roman" w:hAnsi="Times New Roman" w:cs="Times New Roman"/>
          <w:sz w:val="26"/>
          <w:szCs w:val="26"/>
        </w:rPr>
        <w:t xml:space="preserve"> some beneficial functions</w:t>
      </w:r>
      <w:r w:rsidR="00EC150A" w:rsidRPr="00257ACB">
        <w:rPr>
          <w:rFonts w:ascii="Times New Roman" w:hAnsi="Times New Roman" w:cs="Times New Roman"/>
          <w:sz w:val="26"/>
          <w:szCs w:val="26"/>
        </w:rPr>
        <w:t xml:space="preserve"> </w:t>
      </w:r>
      <w:r w:rsidR="000E4728" w:rsidRPr="00257ACB">
        <w:rPr>
          <w:rFonts w:ascii="Times New Roman" w:hAnsi="Times New Roman" w:cs="Times New Roman"/>
          <w:sz w:val="26"/>
          <w:szCs w:val="26"/>
        </w:rPr>
        <w:t xml:space="preserve"> for employers to cope with fluctuations in demand, for which traditional permanent full-time employment is not an efficient solution, or they are sought by employees who want more </w:t>
      </w:r>
      <w:r w:rsidR="009765B1" w:rsidRPr="00257ACB">
        <w:rPr>
          <w:rFonts w:ascii="Times New Roman" w:hAnsi="Times New Roman" w:cs="Times New Roman"/>
          <w:sz w:val="26"/>
          <w:szCs w:val="26"/>
        </w:rPr>
        <w:t>flexibility for a better personal work-life balance.</w:t>
      </w:r>
      <w:r w:rsidR="00B10A4A">
        <w:rPr>
          <w:rStyle w:val="ae"/>
          <w:rFonts w:ascii="Times New Roman" w:hAnsi="Times New Roman" w:cs="Times New Roman"/>
          <w:sz w:val="26"/>
          <w:szCs w:val="26"/>
        </w:rPr>
        <w:footnoteReference w:id="72"/>
      </w:r>
      <w:r w:rsidR="001D5FFB" w:rsidRPr="00257ACB">
        <w:rPr>
          <w:rFonts w:ascii="Times New Roman" w:hAnsi="Times New Roman" w:cs="Times New Roman"/>
          <w:sz w:val="26"/>
          <w:szCs w:val="26"/>
        </w:rPr>
        <w:t xml:space="preserve"> In this case where new employment forms have been used for their demands, some inherent concerns with working conditions and the </w:t>
      </w:r>
      <w:proofErr w:type="spellStart"/>
      <w:r w:rsidR="001D5FFB" w:rsidRPr="00257ACB">
        <w:rPr>
          <w:rFonts w:ascii="Times New Roman" w:hAnsi="Times New Roman" w:cs="Times New Roman"/>
          <w:sz w:val="26"/>
          <w:szCs w:val="26"/>
        </w:rPr>
        <w:t>labour</w:t>
      </w:r>
      <w:proofErr w:type="spellEnd"/>
      <w:r w:rsidR="001D5FFB" w:rsidRPr="00257ACB">
        <w:rPr>
          <w:rFonts w:ascii="Times New Roman" w:hAnsi="Times New Roman" w:cs="Times New Roman"/>
          <w:sz w:val="26"/>
          <w:szCs w:val="26"/>
        </w:rPr>
        <w:t xml:space="preserve"> market need to be dealt with through legislation or other forms of regulation.</w:t>
      </w:r>
      <w:r w:rsidR="00B10A4A">
        <w:rPr>
          <w:rStyle w:val="ae"/>
          <w:rFonts w:ascii="Times New Roman" w:hAnsi="Times New Roman" w:cs="Times New Roman"/>
          <w:sz w:val="26"/>
          <w:szCs w:val="26"/>
        </w:rPr>
        <w:footnoteReference w:id="73"/>
      </w:r>
      <w:r w:rsidR="00D76D7B" w:rsidRPr="00257ACB">
        <w:rPr>
          <w:rFonts w:ascii="Times New Roman" w:hAnsi="Times New Roman" w:cs="Times New Roman"/>
          <w:sz w:val="26"/>
          <w:szCs w:val="26"/>
        </w:rPr>
        <w:t xml:space="preserve"> Furthermore, </w:t>
      </w:r>
      <w:r w:rsidR="00475390" w:rsidRPr="00257ACB">
        <w:rPr>
          <w:rFonts w:ascii="Times New Roman" w:hAnsi="Times New Roman" w:cs="Times New Roman"/>
          <w:sz w:val="26"/>
          <w:szCs w:val="26"/>
        </w:rPr>
        <w:t xml:space="preserve">monitoring and control mechanisms </w:t>
      </w:r>
      <w:r w:rsidR="00C214B6" w:rsidRPr="00257ACB">
        <w:rPr>
          <w:rFonts w:ascii="Times New Roman" w:hAnsi="Times New Roman" w:cs="Times New Roman"/>
          <w:sz w:val="26"/>
          <w:szCs w:val="26"/>
        </w:rPr>
        <w:t xml:space="preserve">also need to be developed or improved for reviewing new employment forms. Even if many trade unions have been known to set up special institutions </w:t>
      </w:r>
      <w:r w:rsidR="00320AF6" w:rsidRPr="00257ACB">
        <w:rPr>
          <w:rFonts w:ascii="Times New Roman" w:hAnsi="Times New Roman" w:cs="Times New Roman"/>
          <w:sz w:val="26"/>
          <w:szCs w:val="26"/>
        </w:rPr>
        <w:t>where</w:t>
      </w:r>
      <w:r w:rsidR="00C214B6" w:rsidRPr="00257ACB">
        <w:rPr>
          <w:rFonts w:ascii="Times New Roman" w:hAnsi="Times New Roman" w:cs="Times New Roman"/>
          <w:sz w:val="26"/>
          <w:szCs w:val="26"/>
        </w:rPr>
        <w:t xml:space="preserve"> workers can report misuse of the system,</w:t>
      </w:r>
      <w:r w:rsidR="00705115" w:rsidRPr="00257ACB">
        <w:rPr>
          <w:rFonts w:ascii="Times New Roman" w:hAnsi="Times New Roman" w:cs="Times New Roman"/>
          <w:sz w:val="26"/>
          <w:szCs w:val="26"/>
        </w:rPr>
        <w:t xml:space="preserve"> </w:t>
      </w:r>
      <w:proofErr w:type="spellStart"/>
      <w:r w:rsidR="00705115" w:rsidRPr="00257ACB">
        <w:rPr>
          <w:rFonts w:ascii="Times New Roman" w:hAnsi="Times New Roman" w:cs="Times New Roman"/>
          <w:sz w:val="26"/>
          <w:szCs w:val="26"/>
        </w:rPr>
        <w:t>labour</w:t>
      </w:r>
      <w:proofErr w:type="spellEnd"/>
      <w:r w:rsidR="00705115" w:rsidRPr="00257ACB">
        <w:rPr>
          <w:rFonts w:ascii="Times New Roman" w:hAnsi="Times New Roman" w:cs="Times New Roman"/>
          <w:sz w:val="26"/>
          <w:szCs w:val="26"/>
        </w:rPr>
        <w:t xml:space="preserve"> inspectors do not </w:t>
      </w:r>
      <w:r w:rsidR="00320AF6" w:rsidRPr="00257ACB">
        <w:rPr>
          <w:rFonts w:ascii="Times New Roman" w:hAnsi="Times New Roman" w:cs="Times New Roman"/>
          <w:sz w:val="26"/>
          <w:szCs w:val="26"/>
        </w:rPr>
        <w:t xml:space="preserve">generally </w:t>
      </w:r>
      <w:r w:rsidR="00705115" w:rsidRPr="00257ACB">
        <w:rPr>
          <w:rFonts w:ascii="Times New Roman" w:hAnsi="Times New Roman" w:cs="Times New Roman"/>
          <w:sz w:val="26"/>
          <w:szCs w:val="26"/>
        </w:rPr>
        <w:t xml:space="preserve">focus on new employment forms, either due to lack of awareness or </w:t>
      </w:r>
      <w:r w:rsidR="00705115" w:rsidRPr="00257ACB">
        <w:rPr>
          <w:rFonts w:ascii="Times New Roman" w:hAnsi="Times New Roman" w:cs="Times New Roman"/>
          <w:sz w:val="26"/>
          <w:szCs w:val="26"/>
        </w:rPr>
        <w:lastRenderedPageBreak/>
        <w:t>due to lack of resources.</w:t>
      </w:r>
      <w:r w:rsidR="00B10A4A">
        <w:rPr>
          <w:rStyle w:val="ae"/>
          <w:rFonts w:ascii="Times New Roman" w:hAnsi="Times New Roman" w:cs="Times New Roman"/>
          <w:sz w:val="26"/>
          <w:szCs w:val="26"/>
        </w:rPr>
        <w:footnoteReference w:id="74"/>
      </w:r>
      <w:r w:rsidR="00C214B6" w:rsidRPr="00257ACB">
        <w:rPr>
          <w:rFonts w:ascii="Times New Roman" w:hAnsi="Times New Roman" w:cs="Times New Roman"/>
          <w:sz w:val="26"/>
          <w:szCs w:val="26"/>
        </w:rPr>
        <w:t xml:space="preserve"> </w:t>
      </w:r>
    </w:p>
    <w:p w14:paraId="03B76F09" w14:textId="77777777" w:rsidR="007472C7" w:rsidRPr="00257ACB" w:rsidRDefault="007472C7" w:rsidP="00441FA4">
      <w:pPr>
        <w:pStyle w:val="a3"/>
        <w:ind w:leftChars="0" w:left="1160"/>
        <w:rPr>
          <w:rFonts w:ascii="Times New Roman" w:hAnsi="Times New Roman" w:cs="Times New Roman"/>
          <w:sz w:val="26"/>
          <w:szCs w:val="26"/>
        </w:rPr>
      </w:pPr>
    </w:p>
    <w:p w14:paraId="2E277282" w14:textId="1FB59F60" w:rsidR="007472C7" w:rsidRDefault="00A30D70" w:rsidP="007472C7">
      <w:pPr>
        <w:pStyle w:val="a3"/>
        <w:numPr>
          <w:ilvl w:val="0"/>
          <w:numId w:val="5"/>
        </w:numPr>
        <w:ind w:leftChars="0"/>
        <w:rPr>
          <w:rFonts w:ascii="Times New Roman" w:hAnsi="Times New Roman" w:cs="Times New Roman"/>
          <w:sz w:val="26"/>
          <w:szCs w:val="26"/>
        </w:rPr>
      </w:pPr>
      <w:r w:rsidRPr="00257ACB">
        <w:rPr>
          <w:rFonts w:ascii="Times New Roman" w:hAnsi="Times New Roman" w:cs="Times New Roman"/>
          <w:sz w:val="26"/>
          <w:szCs w:val="26"/>
        </w:rPr>
        <w:t xml:space="preserve">New forms of employment and </w:t>
      </w:r>
      <w:r w:rsidR="00140D00" w:rsidRPr="00257ACB">
        <w:rPr>
          <w:rFonts w:ascii="Times New Roman" w:hAnsi="Times New Roman" w:cs="Times New Roman"/>
          <w:sz w:val="26"/>
          <w:szCs w:val="26"/>
        </w:rPr>
        <w:t>the policy of EU</w:t>
      </w:r>
    </w:p>
    <w:p w14:paraId="15AFE32B" w14:textId="77777777" w:rsidR="00AF56C8" w:rsidRPr="00257ACB" w:rsidRDefault="00AF56C8" w:rsidP="00AF56C8">
      <w:pPr>
        <w:pStyle w:val="a3"/>
        <w:ind w:leftChars="0" w:left="1120"/>
        <w:rPr>
          <w:rFonts w:ascii="Times New Roman" w:hAnsi="Times New Roman" w:cs="Times New Roman"/>
          <w:sz w:val="26"/>
          <w:szCs w:val="26"/>
        </w:rPr>
      </w:pPr>
    </w:p>
    <w:p w14:paraId="2DA5A562" w14:textId="17AAB26E" w:rsidR="00B178A1" w:rsidRDefault="00140476" w:rsidP="00B178A1">
      <w:pPr>
        <w:pStyle w:val="a3"/>
        <w:numPr>
          <w:ilvl w:val="0"/>
          <w:numId w:val="9"/>
        </w:numPr>
        <w:ind w:leftChars="0"/>
        <w:rPr>
          <w:rFonts w:ascii="Times New Roman" w:hAnsi="Times New Roman" w:cs="Times New Roman"/>
          <w:sz w:val="26"/>
          <w:szCs w:val="26"/>
        </w:rPr>
      </w:pPr>
      <w:r w:rsidRPr="00257ACB">
        <w:rPr>
          <w:rFonts w:ascii="Times New Roman" w:hAnsi="Times New Roman" w:cs="Times New Roman"/>
          <w:sz w:val="26"/>
          <w:szCs w:val="26"/>
        </w:rPr>
        <w:t xml:space="preserve">New forms of employment and </w:t>
      </w:r>
      <w:r w:rsidR="008F7CC2" w:rsidRPr="00257ACB">
        <w:rPr>
          <w:rFonts w:ascii="Times New Roman" w:hAnsi="Times New Roman" w:cs="Times New Roman"/>
          <w:sz w:val="26"/>
          <w:szCs w:val="26"/>
        </w:rPr>
        <w:t xml:space="preserve">a </w:t>
      </w:r>
      <w:r w:rsidRPr="00257ACB">
        <w:rPr>
          <w:rFonts w:ascii="Times New Roman" w:hAnsi="Times New Roman" w:cs="Times New Roman"/>
          <w:sz w:val="26"/>
          <w:szCs w:val="26"/>
        </w:rPr>
        <w:t>dual policy of the EU</w:t>
      </w:r>
    </w:p>
    <w:p w14:paraId="0A8BD638" w14:textId="77777777" w:rsidR="00AF56C8" w:rsidRPr="00257ACB" w:rsidRDefault="00AF56C8" w:rsidP="00AF56C8">
      <w:pPr>
        <w:pStyle w:val="a3"/>
        <w:ind w:leftChars="0" w:left="1480"/>
        <w:rPr>
          <w:rFonts w:ascii="Times New Roman" w:hAnsi="Times New Roman" w:cs="Times New Roman"/>
          <w:sz w:val="26"/>
          <w:szCs w:val="26"/>
        </w:rPr>
      </w:pPr>
    </w:p>
    <w:p w14:paraId="522BE1D2" w14:textId="61705264" w:rsidR="00441FF1" w:rsidRPr="00257ACB" w:rsidRDefault="00D97D2B" w:rsidP="0092583F">
      <w:pPr>
        <w:pStyle w:val="a3"/>
        <w:ind w:leftChars="0" w:left="1480"/>
        <w:rPr>
          <w:rFonts w:ascii="Times New Roman" w:hAnsi="Times New Roman" w:cs="Times New Roman"/>
          <w:sz w:val="26"/>
          <w:szCs w:val="26"/>
        </w:rPr>
      </w:pPr>
      <w:r w:rsidRPr="00257ACB">
        <w:rPr>
          <w:rFonts w:ascii="Times New Roman" w:hAnsi="Times New Roman" w:cs="Times New Roman"/>
          <w:sz w:val="26"/>
          <w:szCs w:val="26"/>
        </w:rPr>
        <w:t>In addition to work forms associated with non-standard work per se, new forms of employment which showed a very high degree of flexibility of hiring and employment conditions have</w:t>
      </w:r>
      <w:r w:rsidR="002D09E3" w:rsidRPr="00257ACB">
        <w:rPr>
          <w:rFonts w:ascii="Times New Roman" w:hAnsi="Times New Roman" w:cs="Times New Roman"/>
          <w:sz w:val="26"/>
          <w:szCs w:val="26"/>
        </w:rPr>
        <w:t xml:space="preserve"> spread</w:t>
      </w:r>
      <w:r w:rsidRPr="00257ACB">
        <w:rPr>
          <w:rFonts w:ascii="Times New Roman" w:hAnsi="Times New Roman" w:cs="Times New Roman"/>
          <w:sz w:val="26"/>
          <w:szCs w:val="26"/>
        </w:rPr>
        <w:t xml:space="preserve"> in variety of working areas especially since 2008.</w:t>
      </w:r>
      <w:r w:rsidR="00E64755" w:rsidRPr="00257ACB">
        <w:rPr>
          <w:rFonts w:ascii="Times New Roman" w:hAnsi="Times New Roman" w:cs="Times New Roman"/>
          <w:sz w:val="26"/>
          <w:szCs w:val="26"/>
        </w:rPr>
        <w:t xml:space="preserve"> </w:t>
      </w:r>
      <w:r w:rsidR="005D2953" w:rsidRPr="00257ACB">
        <w:rPr>
          <w:rFonts w:ascii="Times New Roman" w:hAnsi="Times New Roman" w:cs="Times New Roman"/>
          <w:sz w:val="26"/>
          <w:szCs w:val="26"/>
        </w:rPr>
        <w:t xml:space="preserve">As mentioned above, while </w:t>
      </w:r>
      <w:r w:rsidR="00B178A1" w:rsidRPr="00257ACB">
        <w:rPr>
          <w:rFonts w:ascii="Times New Roman" w:hAnsi="Times New Roman" w:cs="Times New Roman"/>
          <w:sz w:val="26"/>
          <w:szCs w:val="26"/>
        </w:rPr>
        <w:t>n</w:t>
      </w:r>
      <w:r w:rsidR="005D2953" w:rsidRPr="00257ACB">
        <w:rPr>
          <w:rFonts w:ascii="Times New Roman" w:hAnsi="Times New Roman" w:cs="Times New Roman"/>
          <w:sz w:val="26"/>
          <w:szCs w:val="26"/>
        </w:rPr>
        <w:t xml:space="preserve">ew work forms could have positive impacts on </w:t>
      </w:r>
      <w:proofErr w:type="spellStart"/>
      <w:r w:rsidR="005D2953" w:rsidRPr="00257ACB">
        <w:rPr>
          <w:rFonts w:ascii="Times New Roman" w:hAnsi="Times New Roman" w:cs="Times New Roman"/>
          <w:sz w:val="26"/>
          <w:szCs w:val="26"/>
        </w:rPr>
        <w:t>labour</w:t>
      </w:r>
      <w:proofErr w:type="spellEnd"/>
      <w:r w:rsidR="005D2953" w:rsidRPr="00257ACB">
        <w:rPr>
          <w:rFonts w:ascii="Times New Roman" w:hAnsi="Times New Roman" w:cs="Times New Roman"/>
          <w:sz w:val="26"/>
          <w:szCs w:val="26"/>
        </w:rPr>
        <w:t xml:space="preserve"> market to provide new opportunities for workers and employers </w:t>
      </w:r>
      <w:r w:rsidR="0025679D" w:rsidRPr="00257ACB">
        <w:rPr>
          <w:rFonts w:ascii="Times New Roman" w:hAnsi="Times New Roman" w:cs="Times New Roman"/>
          <w:sz w:val="26"/>
          <w:szCs w:val="26"/>
        </w:rPr>
        <w:t>beyond traditional model of the employment contract</w:t>
      </w:r>
      <w:r w:rsidR="005D2953" w:rsidRPr="00257ACB">
        <w:rPr>
          <w:rFonts w:ascii="Times New Roman" w:hAnsi="Times New Roman" w:cs="Times New Roman"/>
          <w:sz w:val="26"/>
          <w:szCs w:val="26"/>
        </w:rPr>
        <w:t>, it</w:t>
      </w:r>
      <w:r w:rsidR="002D09E3" w:rsidRPr="00257ACB">
        <w:rPr>
          <w:rFonts w:ascii="Times New Roman" w:hAnsi="Times New Roman" w:cs="Times New Roman"/>
          <w:sz w:val="26"/>
          <w:szCs w:val="26"/>
        </w:rPr>
        <w:t xml:space="preserve"> has also been acknowledged</w:t>
      </w:r>
      <w:r w:rsidR="005D2953" w:rsidRPr="00257ACB">
        <w:rPr>
          <w:rFonts w:ascii="Times New Roman" w:hAnsi="Times New Roman" w:cs="Times New Roman"/>
          <w:sz w:val="26"/>
          <w:szCs w:val="26"/>
        </w:rPr>
        <w:t xml:space="preserve"> that </w:t>
      </w:r>
      <w:r w:rsidR="00B178A1" w:rsidRPr="00257ACB">
        <w:rPr>
          <w:rFonts w:ascii="Times New Roman" w:hAnsi="Times New Roman" w:cs="Times New Roman"/>
          <w:sz w:val="26"/>
          <w:szCs w:val="26"/>
        </w:rPr>
        <w:t>some of those new forms</w:t>
      </w:r>
      <w:r w:rsidR="005D2953" w:rsidRPr="00257ACB">
        <w:rPr>
          <w:rFonts w:ascii="Times New Roman" w:hAnsi="Times New Roman" w:cs="Times New Roman"/>
          <w:sz w:val="26"/>
          <w:szCs w:val="26"/>
        </w:rPr>
        <w:t xml:space="preserve"> could</w:t>
      </w:r>
      <w:r w:rsidR="003A201D" w:rsidRPr="00257ACB">
        <w:rPr>
          <w:rFonts w:ascii="Times New Roman" w:hAnsi="Times New Roman" w:cs="Times New Roman"/>
          <w:sz w:val="26"/>
          <w:szCs w:val="26"/>
        </w:rPr>
        <w:t xml:space="preserve"> </w:t>
      </w:r>
      <w:r w:rsidR="00EA58E2" w:rsidRPr="00257ACB">
        <w:rPr>
          <w:rFonts w:ascii="Times New Roman" w:hAnsi="Times New Roman" w:cs="Times New Roman"/>
          <w:sz w:val="26"/>
          <w:szCs w:val="26"/>
        </w:rPr>
        <w:t>expose workers to a high degree of insecurity and precariousness</w:t>
      </w:r>
      <w:r w:rsidR="00057D28" w:rsidRPr="00257ACB">
        <w:rPr>
          <w:rFonts w:ascii="Times New Roman" w:hAnsi="Times New Roman" w:cs="Times New Roman"/>
          <w:sz w:val="26"/>
          <w:szCs w:val="26"/>
        </w:rPr>
        <w:t xml:space="preserve"> rather than any compensating benefits. </w:t>
      </w:r>
      <w:r w:rsidR="00CD38CB" w:rsidRPr="00257ACB">
        <w:rPr>
          <w:rFonts w:ascii="Times New Roman" w:hAnsi="Times New Roman" w:cs="Times New Roman"/>
          <w:sz w:val="26"/>
          <w:szCs w:val="26"/>
        </w:rPr>
        <w:t>S</w:t>
      </w:r>
      <w:r w:rsidR="005D2953" w:rsidRPr="00257ACB">
        <w:rPr>
          <w:rFonts w:ascii="Times New Roman" w:hAnsi="Times New Roman" w:cs="Times New Roman"/>
          <w:sz w:val="26"/>
          <w:szCs w:val="26"/>
        </w:rPr>
        <w:t xml:space="preserve">ome new work forms such as on-call work of the kind associated with </w:t>
      </w:r>
      <w:r w:rsidR="00E64755" w:rsidRPr="00257ACB">
        <w:rPr>
          <w:rFonts w:ascii="Times New Roman" w:hAnsi="Times New Roman" w:cs="Times New Roman"/>
          <w:sz w:val="26"/>
          <w:szCs w:val="26"/>
        </w:rPr>
        <w:t xml:space="preserve">‘zero hours contracts’, </w:t>
      </w:r>
      <w:r w:rsidR="00057D28" w:rsidRPr="00257ACB">
        <w:rPr>
          <w:rFonts w:ascii="Times New Roman" w:hAnsi="Times New Roman" w:cs="Times New Roman"/>
          <w:sz w:val="26"/>
          <w:szCs w:val="26"/>
        </w:rPr>
        <w:t xml:space="preserve">have been </w:t>
      </w:r>
      <w:proofErr w:type="spellStart"/>
      <w:r w:rsidR="00057D28" w:rsidRPr="00257ACB">
        <w:rPr>
          <w:rFonts w:ascii="Times New Roman" w:hAnsi="Times New Roman" w:cs="Times New Roman"/>
          <w:sz w:val="26"/>
          <w:szCs w:val="26"/>
        </w:rPr>
        <w:t>criticised</w:t>
      </w:r>
      <w:proofErr w:type="spellEnd"/>
      <w:r w:rsidR="00E64755" w:rsidRPr="00257ACB">
        <w:rPr>
          <w:rFonts w:ascii="Times New Roman" w:hAnsi="Times New Roman" w:cs="Times New Roman"/>
          <w:sz w:val="26"/>
          <w:szCs w:val="26"/>
        </w:rPr>
        <w:t xml:space="preserve"> to expose workers to a high degree of insecurity and precariousness</w:t>
      </w:r>
      <w:r w:rsidR="00057D28" w:rsidRPr="00257ACB">
        <w:rPr>
          <w:rFonts w:ascii="Times New Roman" w:hAnsi="Times New Roman" w:cs="Times New Roman"/>
          <w:sz w:val="26"/>
          <w:szCs w:val="26"/>
        </w:rPr>
        <w:t xml:space="preserve"> even though other</w:t>
      </w:r>
      <w:r w:rsidR="00CD38CB" w:rsidRPr="00257ACB">
        <w:rPr>
          <w:rFonts w:ascii="Times New Roman" w:hAnsi="Times New Roman" w:cs="Times New Roman"/>
          <w:sz w:val="26"/>
          <w:szCs w:val="26"/>
        </w:rPr>
        <w:t xml:space="preserve"> forms of works </w:t>
      </w:r>
      <w:r w:rsidR="00057D28" w:rsidRPr="00257ACB">
        <w:rPr>
          <w:rFonts w:ascii="Times New Roman" w:hAnsi="Times New Roman" w:cs="Times New Roman"/>
          <w:sz w:val="26"/>
          <w:szCs w:val="26"/>
        </w:rPr>
        <w:t>such as</w:t>
      </w:r>
      <w:r w:rsidR="00F658F2" w:rsidRPr="00257ACB">
        <w:rPr>
          <w:rFonts w:ascii="Times New Roman" w:hAnsi="Times New Roman" w:cs="Times New Roman"/>
          <w:sz w:val="26"/>
          <w:szCs w:val="26"/>
        </w:rPr>
        <w:t xml:space="preserve"> </w:t>
      </w:r>
      <w:proofErr w:type="spellStart"/>
      <w:r w:rsidR="00F658F2" w:rsidRPr="00257ACB">
        <w:rPr>
          <w:rFonts w:ascii="Times New Roman" w:hAnsi="Times New Roman" w:cs="Times New Roman"/>
          <w:sz w:val="26"/>
          <w:szCs w:val="26"/>
        </w:rPr>
        <w:t>labour</w:t>
      </w:r>
      <w:proofErr w:type="spellEnd"/>
      <w:r w:rsidR="00F658F2" w:rsidRPr="00257ACB">
        <w:rPr>
          <w:rFonts w:ascii="Times New Roman" w:hAnsi="Times New Roman" w:cs="Times New Roman"/>
          <w:sz w:val="26"/>
          <w:szCs w:val="26"/>
        </w:rPr>
        <w:t xml:space="preserve"> pool arrangements found in several Member States, </w:t>
      </w:r>
      <w:r w:rsidR="00B178A1" w:rsidRPr="00257ACB">
        <w:rPr>
          <w:rFonts w:ascii="Times New Roman" w:hAnsi="Times New Roman" w:cs="Times New Roman"/>
          <w:sz w:val="26"/>
          <w:szCs w:val="26"/>
        </w:rPr>
        <w:t>can provide new forms of risk sharing for workers.</w:t>
      </w:r>
      <w:r w:rsidR="008A7FB6" w:rsidRPr="00257ACB">
        <w:rPr>
          <w:rFonts w:ascii="Times New Roman" w:hAnsi="Times New Roman" w:cs="Times New Roman"/>
          <w:sz w:val="26"/>
          <w:szCs w:val="26"/>
        </w:rPr>
        <w:t xml:space="preserve"> From the EU perspective, it can be </w:t>
      </w:r>
      <w:proofErr w:type="spellStart"/>
      <w:r w:rsidR="008A7FB6" w:rsidRPr="00257ACB">
        <w:rPr>
          <w:rFonts w:ascii="Times New Roman" w:hAnsi="Times New Roman" w:cs="Times New Roman"/>
          <w:sz w:val="26"/>
          <w:szCs w:val="26"/>
        </w:rPr>
        <w:t>analysed</w:t>
      </w:r>
      <w:proofErr w:type="spellEnd"/>
      <w:r w:rsidR="008A7FB6" w:rsidRPr="00257ACB">
        <w:rPr>
          <w:rFonts w:ascii="Times New Roman" w:hAnsi="Times New Roman" w:cs="Times New Roman"/>
          <w:sz w:val="26"/>
          <w:szCs w:val="26"/>
        </w:rPr>
        <w:t xml:space="preserve"> that the EU </w:t>
      </w:r>
      <w:r w:rsidR="003B4AAB" w:rsidRPr="00257ACB">
        <w:rPr>
          <w:rFonts w:ascii="Times New Roman" w:hAnsi="Times New Roman" w:cs="Times New Roman"/>
          <w:sz w:val="26"/>
          <w:szCs w:val="26"/>
        </w:rPr>
        <w:t>has followed</w:t>
      </w:r>
      <w:r w:rsidR="00500A57" w:rsidRPr="00257ACB">
        <w:rPr>
          <w:rFonts w:ascii="Times New Roman" w:hAnsi="Times New Roman" w:cs="Times New Roman"/>
          <w:sz w:val="26"/>
          <w:szCs w:val="26"/>
        </w:rPr>
        <w:t xml:space="preserve"> a dual policy of encouraging diversity in employment contracting, while seeking to regulate </w:t>
      </w:r>
      <w:r w:rsidR="00B22AB1" w:rsidRPr="00257ACB">
        <w:rPr>
          <w:rFonts w:ascii="Times New Roman" w:hAnsi="Times New Roman" w:cs="Times New Roman"/>
          <w:sz w:val="26"/>
          <w:szCs w:val="26"/>
        </w:rPr>
        <w:t xml:space="preserve">so-called atypical or non-standard </w:t>
      </w:r>
      <w:r w:rsidR="00500A57" w:rsidRPr="00257ACB">
        <w:rPr>
          <w:rFonts w:ascii="Times New Roman" w:hAnsi="Times New Roman" w:cs="Times New Roman"/>
          <w:sz w:val="26"/>
          <w:szCs w:val="26"/>
        </w:rPr>
        <w:t>forms of work</w:t>
      </w:r>
      <w:r w:rsidR="00B22AB1" w:rsidRPr="00257ACB">
        <w:rPr>
          <w:rFonts w:ascii="Times New Roman" w:hAnsi="Times New Roman" w:cs="Times New Roman"/>
          <w:sz w:val="26"/>
          <w:szCs w:val="26"/>
        </w:rPr>
        <w:t xml:space="preserve"> which have been considered to provide inferior protection to workers </w:t>
      </w:r>
      <w:r w:rsidR="006F2918" w:rsidRPr="00257ACB">
        <w:rPr>
          <w:rFonts w:ascii="Times New Roman" w:hAnsi="Times New Roman" w:cs="Times New Roman"/>
          <w:sz w:val="26"/>
          <w:szCs w:val="26"/>
        </w:rPr>
        <w:t>in comparison to</w:t>
      </w:r>
      <w:r w:rsidR="00B22AB1" w:rsidRPr="00257ACB">
        <w:rPr>
          <w:rFonts w:ascii="Times New Roman" w:hAnsi="Times New Roman" w:cs="Times New Roman"/>
          <w:sz w:val="26"/>
          <w:szCs w:val="26"/>
        </w:rPr>
        <w:t xml:space="preserve"> the so-called Standard Employment Relationship (SER) of full-time, regular work. </w:t>
      </w:r>
      <w:r w:rsidR="00B10A4A">
        <w:rPr>
          <w:rStyle w:val="ae"/>
          <w:rFonts w:ascii="Times New Roman" w:hAnsi="Times New Roman" w:cs="Times New Roman"/>
          <w:sz w:val="26"/>
          <w:szCs w:val="26"/>
        </w:rPr>
        <w:footnoteReference w:id="75"/>
      </w:r>
      <w:r w:rsidR="0092583F" w:rsidRPr="00257ACB">
        <w:rPr>
          <w:rFonts w:ascii="Times New Roman" w:hAnsi="Times New Roman" w:cs="Times New Roman"/>
          <w:sz w:val="26"/>
          <w:szCs w:val="26"/>
        </w:rPr>
        <w:t xml:space="preserve">This dual approach of liberalization and protection of the EU policy has </w:t>
      </w:r>
      <w:r w:rsidR="00E4548B" w:rsidRPr="00257ACB">
        <w:rPr>
          <w:rFonts w:ascii="Times New Roman" w:hAnsi="Times New Roman" w:cs="Times New Roman"/>
          <w:sz w:val="26"/>
          <w:szCs w:val="26"/>
        </w:rPr>
        <w:t>pre</w:t>
      </w:r>
      <w:r w:rsidR="0092583F" w:rsidRPr="00257ACB">
        <w:rPr>
          <w:rFonts w:ascii="Times New Roman" w:hAnsi="Times New Roman" w:cs="Times New Roman"/>
          <w:sz w:val="26"/>
          <w:szCs w:val="26"/>
        </w:rPr>
        <w:t xml:space="preserve">sumed to make a number of assumptions about the relationship </w:t>
      </w:r>
      <w:r w:rsidR="00494D92" w:rsidRPr="00257ACB">
        <w:rPr>
          <w:rFonts w:ascii="Times New Roman" w:hAnsi="Times New Roman" w:cs="Times New Roman"/>
          <w:sz w:val="26"/>
          <w:szCs w:val="26"/>
        </w:rPr>
        <w:t>between different forms of work.</w:t>
      </w:r>
      <w:r w:rsidR="00B10A4A">
        <w:rPr>
          <w:rStyle w:val="ae"/>
          <w:rFonts w:ascii="Times New Roman" w:hAnsi="Times New Roman" w:cs="Times New Roman"/>
          <w:sz w:val="26"/>
          <w:szCs w:val="26"/>
        </w:rPr>
        <w:footnoteReference w:id="76"/>
      </w:r>
      <w:r w:rsidR="00494D92" w:rsidRPr="00257ACB">
        <w:rPr>
          <w:rFonts w:ascii="Times New Roman" w:hAnsi="Times New Roman" w:cs="Times New Roman"/>
          <w:sz w:val="26"/>
          <w:szCs w:val="26"/>
        </w:rPr>
        <w:t xml:space="preserve"> </w:t>
      </w:r>
      <w:r w:rsidR="0092583F" w:rsidRPr="00257ACB">
        <w:rPr>
          <w:rFonts w:ascii="Times New Roman" w:hAnsi="Times New Roman" w:cs="Times New Roman"/>
          <w:sz w:val="26"/>
          <w:szCs w:val="26"/>
        </w:rPr>
        <w:t xml:space="preserve">Firstly, it assumes </w:t>
      </w:r>
      <w:r w:rsidR="00494D92" w:rsidRPr="00257ACB">
        <w:rPr>
          <w:rFonts w:ascii="Times New Roman" w:hAnsi="Times New Roman" w:cs="Times New Roman"/>
          <w:sz w:val="26"/>
          <w:szCs w:val="26"/>
        </w:rPr>
        <w:t xml:space="preserve">alternatives to the SER </w:t>
      </w:r>
      <w:r w:rsidR="00494D92" w:rsidRPr="00257ACB">
        <w:rPr>
          <w:rFonts w:ascii="Times New Roman" w:hAnsi="Times New Roman" w:cs="Times New Roman"/>
          <w:sz w:val="26"/>
          <w:szCs w:val="26"/>
        </w:rPr>
        <w:lastRenderedPageBreak/>
        <w:t>are valid and legitimate</w:t>
      </w:r>
      <w:r w:rsidR="00A21199" w:rsidRPr="00257ACB">
        <w:rPr>
          <w:rFonts w:ascii="Times New Roman" w:hAnsi="Times New Roman" w:cs="Times New Roman"/>
          <w:sz w:val="26"/>
          <w:szCs w:val="26"/>
        </w:rPr>
        <w:t xml:space="preserve"> based on the justification</w:t>
      </w:r>
      <w:r w:rsidR="00494D92" w:rsidRPr="00257ACB">
        <w:rPr>
          <w:rFonts w:ascii="Times New Roman" w:hAnsi="Times New Roman" w:cs="Times New Roman"/>
          <w:sz w:val="26"/>
          <w:szCs w:val="26"/>
        </w:rPr>
        <w:t xml:space="preserve"> that some workers and employers may prefer the flexibility associated with non-standard forms.</w:t>
      </w:r>
      <w:r w:rsidR="00B10A4A">
        <w:rPr>
          <w:rStyle w:val="ae"/>
          <w:rFonts w:ascii="Times New Roman" w:hAnsi="Times New Roman" w:cs="Times New Roman"/>
          <w:sz w:val="26"/>
          <w:szCs w:val="26"/>
        </w:rPr>
        <w:footnoteReference w:id="77"/>
      </w:r>
      <w:r w:rsidR="00494D92" w:rsidRPr="00257ACB">
        <w:rPr>
          <w:rFonts w:ascii="Times New Roman" w:hAnsi="Times New Roman" w:cs="Times New Roman"/>
          <w:sz w:val="26"/>
          <w:szCs w:val="26"/>
        </w:rPr>
        <w:t xml:space="preserve"> Second, the policy </w:t>
      </w:r>
      <w:r w:rsidR="00A21199" w:rsidRPr="00257ACB">
        <w:rPr>
          <w:rFonts w:ascii="Times New Roman" w:hAnsi="Times New Roman" w:cs="Times New Roman"/>
          <w:sz w:val="26"/>
          <w:szCs w:val="26"/>
        </w:rPr>
        <w:t>assumes</w:t>
      </w:r>
      <w:r w:rsidR="00494D92" w:rsidRPr="00257ACB">
        <w:rPr>
          <w:rFonts w:ascii="Times New Roman" w:hAnsi="Times New Roman" w:cs="Times New Roman"/>
          <w:sz w:val="26"/>
          <w:szCs w:val="26"/>
        </w:rPr>
        <w:t xml:space="preserve"> that the SER is itself a valid form and merits some protection.</w:t>
      </w:r>
      <w:r w:rsidR="00B10A4A">
        <w:rPr>
          <w:rStyle w:val="ae"/>
          <w:rFonts w:ascii="Times New Roman" w:hAnsi="Times New Roman" w:cs="Times New Roman"/>
          <w:sz w:val="26"/>
          <w:szCs w:val="26"/>
        </w:rPr>
        <w:footnoteReference w:id="78"/>
      </w:r>
      <w:r w:rsidR="00AC3DCF" w:rsidRPr="00257ACB">
        <w:rPr>
          <w:rFonts w:ascii="Times New Roman" w:hAnsi="Times New Roman" w:cs="Times New Roman"/>
          <w:sz w:val="26"/>
          <w:szCs w:val="26"/>
        </w:rPr>
        <w:t xml:space="preserve"> </w:t>
      </w:r>
      <w:r w:rsidR="00982E22" w:rsidRPr="00257ACB">
        <w:rPr>
          <w:rFonts w:ascii="Times New Roman" w:hAnsi="Times New Roman" w:cs="Times New Roman"/>
          <w:sz w:val="26"/>
          <w:szCs w:val="26"/>
        </w:rPr>
        <w:t>This dualism can be said a possibility in that the current EU approach</w:t>
      </w:r>
      <w:r w:rsidR="003748A7" w:rsidRPr="00257ACB">
        <w:rPr>
          <w:rFonts w:ascii="Times New Roman" w:hAnsi="Times New Roman" w:cs="Times New Roman"/>
          <w:sz w:val="26"/>
          <w:szCs w:val="26"/>
        </w:rPr>
        <w:t>, while providing, in principle, a</w:t>
      </w:r>
      <w:r w:rsidR="001C7227" w:rsidRPr="00257ACB">
        <w:rPr>
          <w:rFonts w:ascii="Times New Roman" w:hAnsi="Times New Roman" w:cs="Times New Roman"/>
          <w:sz w:val="26"/>
          <w:szCs w:val="26"/>
        </w:rPr>
        <w:t xml:space="preserve"> </w:t>
      </w:r>
      <w:r w:rsidR="003748A7" w:rsidRPr="00257ACB">
        <w:rPr>
          <w:rFonts w:ascii="Times New Roman" w:hAnsi="Times New Roman" w:cs="Times New Roman"/>
          <w:sz w:val="26"/>
          <w:szCs w:val="26"/>
        </w:rPr>
        <w:t>right to equal treatment which uses the SER as a benchmark, nevertheless falls short of providing full equality.</w:t>
      </w:r>
      <w:r w:rsidR="00B10A4A">
        <w:rPr>
          <w:rStyle w:val="ae"/>
          <w:rFonts w:ascii="Times New Roman" w:hAnsi="Times New Roman" w:cs="Times New Roman"/>
          <w:sz w:val="26"/>
          <w:szCs w:val="26"/>
        </w:rPr>
        <w:footnoteReference w:id="79"/>
      </w:r>
      <w:r w:rsidR="003748A7" w:rsidRPr="00257ACB">
        <w:rPr>
          <w:rFonts w:ascii="Times New Roman" w:hAnsi="Times New Roman" w:cs="Times New Roman"/>
          <w:sz w:val="26"/>
          <w:szCs w:val="26"/>
        </w:rPr>
        <w:t xml:space="preserve"> </w:t>
      </w:r>
      <w:r w:rsidR="009C15A8" w:rsidRPr="00257ACB">
        <w:rPr>
          <w:rFonts w:ascii="Times New Roman" w:hAnsi="Times New Roman" w:cs="Times New Roman"/>
          <w:sz w:val="26"/>
          <w:szCs w:val="26"/>
        </w:rPr>
        <w:t>That is, it may be hard that for a part-time worker to find a valid comparator engaged on full-time work.</w:t>
      </w:r>
      <w:r w:rsidR="00D07C8E">
        <w:rPr>
          <w:rStyle w:val="ae"/>
          <w:rFonts w:ascii="Times New Roman" w:hAnsi="Times New Roman" w:cs="Times New Roman"/>
          <w:sz w:val="26"/>
          <w:szCs w:val="26"/>
        </w:rPr>
        <w:footnoteReference w:id="80"/>
      </w:r>
      <w:r w:rsidR="009C15A8" w:rsidRPr="00257ACB">
        <w:rPr>
          <w:rFonts w:ascii="Times New Roman" w:hAnsi="Times New Roman" w:cs="Times New Roman"/>
          <w:sz w:val="26"/>
          <w:szCs w:val="26"/>
        </w:rPr>
        <w:t xml:space="preserve"> </w:t>
      </w:r>
      <w:r w:rsidR="003748A7" w:rsidRPr="00257ACB">
        <w:rPr>
          <w:rFonts w:ascii="Times New Roman" w:hAnsi="Times New Roman" w:cs="Times New Roman"/>
          <w:sz w:val="26"/>
          <w:szCs w:val="26"/>
        </w:rPr>
        <w:t xml:space="preserve"> </w:t>
      </w:r>
      <w:r w:rsidR="00C30BD9" w:rsidRPr="00257ACB">
        <w:rPr>
          <w:rFonts w:ascii="Times New Roman" w:hAnsi="Times New Roman" w:cs="Times New Roman"/>
          <w:sz w:val="26"/>
          <w:szCs w:val="26"/>
        </w:rPr>
        <w:t>For example, this is the case</w:t>
      </w:r>
      <w:r w:rsidR="008B5C54" w:rsidRPr="00257ACB">
        <w:rPr>
          <w:rFonts w:ascii="Times New Roman" w:hAnsi="Times New Roman" w:cs="Times New Roman"/>
          <w:sz w:val="26"/>
          <w:szCs w:val="26"/>
        </w:rPr>
        <w:t xml:space="preserve"> reported</w:t>
      </w:r>
      <w:r w:rsidR="00C30BD9" w:rsidRPr="00257ACB">
        <w:rPr>
          <w:rFonts w:ascii="Times New Roman" w:hAnsi="Times New Roman" w:cs="Times New Roman"/>
          <w:sz w:val="26"/>
          <w:szCs w:val="26"/>
        </w:rPr>
        <w:t xml:space="preserve"> in UK that national laws implementing the Directive tend to protect the right to transition from full-time work to part-time work but not to return to </w:t>
      </w:r>
      <w:r w:rsidR="008B5C54" w:rsidRPr="00257ACB">
        <w:rPr>
          <w:rFonts w:ascii="Times New Roman" w:hAnsi="Times New Roman" w:cs="Times New Roman"/>
          <w:sz w:val="26"/>
          <w:szCs w:val="26"/>
        </w:rPr>
        <w:t>full-time work.</w:t>
      </w:r>
      <w:r w:rsidR="00D07C8E">
        <w:rPr>
          <w:rStyle w:val="ae"/>
          <w:rFonts w:ascii="Times New Roman" w:hAnsi="Times New Roman" w:cs="Times New Roman"/>
          <w:sz w:val="26"/>
          <w:szCs w:val="26"/>
        </w:rPr>
        <w:footnoteReference w:id="81"/>
      </w:r>
      <w:r w:rsidR="008B5C54" w:rsidRPr="00257ACB">
        <w:rPr>
          <w:rFonts w:ascii="Times New Roman" w:hAnsi="Times New Roman" w:cs="Times New Roman"/>
          <w:sz w:val="26"/>
          <w:szCs w:val="26"/>
        </w:rPr>
        <w:t xml:space="preserve"> The possible exclusion of zero hours contract workers from the Part-Time Work Directive is a potential problem, discussed in the </w:t>
      </w:r>
      <w:proofErr w:type="spellStart"/>
      <w:r w:rsidR="008B5C54" w:rsidRPr="00257ACB">
        <w:rPr>
          <w:rFonts w:ascii="Times New Roman" w:hAnsi="Times New Roman" w:cs="Times New Roman"/>
          <w:sz w:val="26"/>
          <w:szCs w:val="26"/>
        </w:rPr>
        <w:t>Wippel</w:t>
      </w:r>
      <w:proofErr w:type="spellEnd"/>
      <w:r w:rsidR="008B5C54" w:rsidRPr="00257ACB">
        <w:rPr>
          <w:rFonts w:ascii="Times New Roman" w:hAnsi="Times New Roman" w:cs="Times New Roman"/>
          <w:sz w:val="26"/>
          <w:szCs w:val="26"/>
        </w:rPr>
        <w:t xml:space="preserve"> case.</w:t>
      </w:r>
      <w:r w:rsidR="00D07C8E">
        <w:rPr>
          <w:rStyle w:val="ae"/>
          <w:rFonts w:ascii="Times New Roman" w:hAnsi="Times New Roman" w:cs="Times New Roman"/>
          <w:sz w:val="26"/>
          <w:szCs w:val="26"/>
        </w:rPr>
        <w:footnoteReference w:id="82"/>
      </w:r>
      <w:r w:rsidR="006F135D" w:rsidRPr="00257ACB">
        <w:rPr>
          <w:rFonts w:ascii="Times New Roman" w:hAnsi="Times New Roman" w:cs="Times New Roman"/>
          <w:sz w:val="26"/>
          <w:szCs w:val="26"/>
        </w:rPr>
        <w:t xml:space="preserve"> </w:t>
      </w:r>
    </w:p>
    <w:p w14:paraId="6D424B7A" w14:textId="77777777" w:rsidR="00AE05A7" w:rsidRPr="00257ACB" w:rsidRDefault="00AE05A7" w:rsidP="00AE05A7">
      <w:pPr>
        <w:pStyle w:val="a3"/>
        <w:ind w:leftChars="0" w:left="1480"/>
        <w:rPr>
          <w:rFonts w:ascii="Times New Roman" w:hAnsi="Times New Roman" w:cs="Times New Roman"/>
          <w:sz w:val="26"/>
          <w:szCs w:val="26"/>
          <w:highlight w:val="green"/>
        </w:rPr>
      </w:pPr>
    </w:p>
    <w:p w14:paraId="2282AE9F" w14:textId="31A5D4EC" w:rsidR="00AA3BFE" w:rsidRDefault="0042551D" w:rsidP="00AA3BFE">
      <w:pPr>
        <w:pStyle w:val="a3"/>
        <w:numPr>
          <w:ilvl w:val="0"/>
          <w:numId w:val="5"/>
        </w:numPr>
        <w:ind w:leftChars="0"/>
        <w:rPr>
          <w:rFonts w:ascii="Times New Roman" w:hAnsi="Times New Roman" w:cs="Times New Roman"/>
          <w:sz w:val="26"/>
          <w:szCs w:val="26"/>
        </w:rPr>
      </w:pPr>
      <w:r w:rsidRPr="00257ACB">
        <w:rPr>
          <w:rFonts w:ascii="Times New Roman" w:hAnsi="Times New Roman" w:cs="Times New Roman"/>
          <w:sz w:val="26"/>
          <w:szCs w:val="26"/>
        </w:rPr>
        <w:t xml:space="preserve">New forms of </w:t>
      </w:r>
      <w:proofErr w:type="spellStart"/>
      <w:r w:rsidRPr="00257ACB">
        <w:rPr>
          <w:rFonts w:ascii="Times New Roman" w:hAnsi="Times New Roman" w:cs="Times New Roman"/>
          <w:sz w:val="26"/>
          <w:szCs w:val="26"/>
        </w:rPr>
        <w:t>labour</w:t>
      </w:r>
      <w:proofErr w:type="spellEnd"/>
      <w:r w:rsidRPr="00257ACB">
        <w:rPr>
          <w:rFonts w:ascii="Times New Roman" w:hAnsi="Times New Roman" w:cs="Times New Roman"/>
          <w:sz w:val="26"/>
          <w:szCs w:val="26"/>
        </w:rPr>
        <w:t xml:space="preserve"> in the UK</w:t>
      </w:r>
      <w:r w:rsidR="00E446F4" w:rsidRPr="00257ACB">
        <w:rPr>
          <w:rFonts w:ascii="Times New Roman" w:hAnsi="Times New Roman" w:cs="Times New Roman"/>
          <w:sz w:val="26"/>
          <w:szCs w:val="26"/>
        </w:rPr>
        <w:t xml:space="preserve"> and the</w:t>
      </w:r>
      <w:r w:rsidRPr="00257ACB">
        <w:rPr>
          <w:rFonts w:ascii="Times New Roman" w:hAnsi="Times New Roman" w:cs="Times New Roman"/>
          <w:sz w:val="26"/>
          <w:szCs w:val="26"/>
        </w:rPr>
        <w:t xml:space="preserve"> legal issues</w:t>
      </w:r>
    </w:p>
    <w:p w14:paraId="41E62C83" w14:textId="77777777" w:rsidR="00AF56C8" w:rsidRPr="00257ACB" w:rsidRDefault="00AF56C8" w:rsidP="00AF56C8">
      <w:pPr>
        <w:pStyle w:val="a3"/>
        <w:ind w:leftChars="0" w:left="1120"/>
        <w:rPr>
          <w:rFonts w:ascii="Times New Roman" w:hAnsi="Times New Roman" w:cs="Times New Roman"/>
          <w:sz w:val="26"/>
          <w:szCs w:val="26"/>
        </w:rPr>
      </w:pPr>
    </w:p>
    <w:p w14:paraId="5F67466B" w14:textId="32AD8812" w:rsidR="00140D00" w:rsidRPr="00257ACB" w:rsidRDefault="00140D00" w:rsidP="00140D00">
      <w:pPr>
        <w:pStyle w:val="a3"/>
        <w:numPr>
          <w:ilvl w:val="0"/>
          <w:numId w:val="10"/>
        </w:numPr>
        <w:ind w:leftChars="0"/>
        <w:rPr>
          <w:rFonts w:ascii="Times New Roman" w:hAnsi="Times New Roman" w:cs="Times New Roman"/>
          <w:sz w:val="26"/>
          <w:szCs w:val="26"/>
        </w:rPr>
      </w:pPr>
      <w:r w:rsidRPr="00257ACB">
        <w:rPr>
          <w:rFonts w:ascii="Times New Roman" w:hAnsi="Times New Roman" w:cs="Times New Roman"/>
          <w:sz w:val="26"/>
          <w:szCs w:val="26"/>
        </w:rPr>
        <w:t>Zero-hour contracts</w:t>
      </w:r>
    </w:p>
    <w:p w14:paraId="7E281417" w14:textId="00AF9362" w:rsidR="00140D00" w:rsidRPr="00257ACB" w:rsidRDefault="00140D00" w:rsidP="00140D00">
      <w:pPr>
        <w:pStyle w:val="a3"/>
        <w:ind w:leftChars="0" w:left="1480"/>
        <w:rPr>
          <w:rFonts w:ascii="Times New Roman" w:hAnsi="Times New Roman" w:cs="Times New Roman"/>
          <w:sz w:val="26"/>
          <w:szCs w:val="26"/>
        </w:rPr>
      </w:pPr>
      <w:r w:rsidRPr="00257ACB">
        <w:rPr>
          <w:rFonts w:ascii="Times New Roman" w:hAnsi="Times New Roman" w:cs="Times New Roman"/>
          <w:sz w:val="26"/>
          <w:szCs w:val="26"/>
        </w:rPr>
        <w:lastRenderedPageBreak/>
        <w:t>Zero</w:t>
      </w:r>
      <w:r w:rsidR="00AE5E63" w:rsidRPr="00257ACB">
        <w:rPr>
          <w:rFonts w:ascii="Times New Roman" w:hAnsi="Times New Roman" w:cs="Times New Roman"/>
          <w:sz w:val="26"/>
          <w:szCs w:val="26"/>
        </w:rPr>
        <w:t>-hour contracts have become one of the most</w:t>
      </w:r>
      <w:r w:rsidR="00F3518D" w:rsidRPr="00257ACB">
        <w:rPr>
          <w:rFonts w:ascii="Times New Roman" w:hAnsi="Times New Roman" w:cs="Times New Roman"/>
          <w:sz w:val="26"/>
          <w:szCs w:val="26"/>
        </w:rPr>
        <w:t xml:space="preserve"> discussed employment law issues in the UK already since early 2013,</w:t>
      </w:r>
      <w:r w:rsidR="00D07C8E">
        <w:rPr>
          <w:rStyle w:val="ae"/>
          <w:rFonts w:ascii="Times New Roman" w:hAnsi="Times New Roman" w:cs="Times New Roman"/>
          <w:sz w:val="26"/>
          <w:szCs w:val="26"/>
        </w:rPr>
        <w:footnoteReference w:id="83"/>
      </w:r>
      <w:r w:rsidR="00F3518D" w:rsidRPr="00257ACB">
        <w:rPr>
          <w:rFonts w:ascii="Times New Roman" w:hAnsi="Times New Roman" w:cs="Times New Roman"/>
          <w:sz w:val="26"/>
          <w:szCs w:val="26"/>
        </w:rPr>
        <w:t xml:space="preserve"> </w:t>
      </w:r>
      <w:r w:rsidR="00040188" w:rsidRPr="00257ACB">
        <w:rPr>
          <w:rFonts w:ascii="Times New Roman" w:hAnsi="Times New Roman" w:cs="Times New Roman"/>
          <w:sz w:val="26"/>
          <w:szCs w:val="26"/>
        </w:rPr>
        <w:t>with</w:t>
      </w:r>
      <w:r w:rsidR="00F3518D" w:rsidRPr="00257ACB">
        <w:rPr>
          <w:rFonts w:ascii="Times New Roman" w:hAnsi="Times New Roman" w:cs="Times New Roman"/>
          <w:sz w:val="26"/>
          <w:szCs w:val="26"/>
        </w:rPr>
        <w:t xml:space="preserve"> frequent reports about the </w:t>
      </w:r>
      <w:r w:rsidR="00AE5E63" w:rsidRPr="00257ACB">
        <w:rPr>
          <w:rFonts w:ascii="Times New Roman" w:hAnsi="Times New Roman" w:cs="Times New Roman"/>
          <w:sz w:val="26"/>
          <w:szCs w:val="26"/>
        </w:rPr>
        <w:t>use and abuse of such work arrangement.</w:t>
      </w:r>
      <w:r w:rsidR="00D07C8E">
        <w:rPr>
          <w:rStyle w:val="ae"/>
          <w:rFonts w:ascii="Times New Roman" w:hAnsi="Times New Roman" w:cs="Times New Roman"/>
          <w:sz w:val="26"/>
          <w:szCs w:val="26"/>
        </w:rPr>
        <w:footnoteReference w:id="84"/>
      </w:r>
      <w:r w:rsidR="005B0D92" w:rsidRPr="00257ACB">
        <w:rPr>
          <w:rFonts w:ascii="Times New Roman" w:hAnsi="Times New Roman" w:cs="Times New Roman"/>
          <w:sz w:val="26"/>
          <w:szCs w:val="26"/>
        </w:rPr>
        <w:t xml:space="preserve"> </w:t>
      </w:r>
      <w:r w:rsidR="006E71CF" w:rsidRPr="00257ACB">
        <w:rPr>
          <w:rFonts w:ascii="Times New Roman" w:hAnsi="Times New Roman" w:cs="Times New Roman"/>
          <w:sz w:val="26"/>
          <w:szCs w:val="26"/>
        </w:rPr>
        <w:t xml:space="preserve">Political debate </w:t>
      </w:r>
      <w:r w:rsidR="00F759D0" w:rsidRPr="00257ACB">
        <w:rPr>
          <w:rFonts w:ascii="Times New Roman" w:hAnsi="Times New Roman" w:cs="Times New Roman"/>
          <w:sz w:val="26"/>
          <w:szCs w:val="26"/>
        </w:rPr>
        <w:t>has been increasingly heated</w:t>
      </w:r>
      <w:r w:rsidR="006E71CF" w:rsidRPr="00257ACB">
        <w:rPr>
          <w:rFonts w:ascii="Times New Roman" w:hAnsi="Times New Roman" w:cs="Times New Roman"/>
          <w:sz w:val="26"/>
          <w:szCs w:val="26"/>
        </w:rPr>
        <w:t>, from extensive debates in Parliament</w:t>
      </w:r>
      <w:r w:rsidR="00D07C8E">
        <w:rPr>
          <w:rStyle w:val="ae"/>
          <w:rFonts w:ascii="Times New Roman" w:hAnsi="Times New Roman" w:cs="Times New Roman"/>
          <w:sz w:val="26"/>
          <w:szCs w:val="26"/>
        </w:rPr>
        <w:footnoteReference w:id="85"/>
      </w:r>
      <w:r w:rsidR="006E71CF" w:rsidRPr="00257ACB">
        <w:rPr>
          <w:rFonts w:ascii="Times New Roman" w:hAnsi="Times New Roman" w:cs="Times New Roman"/>
          <w:sz w:val="26"/>
          <w:szCs w:val="26"/>
        </w:rPr>
        <w:t xml:space="preserve"> and a Private Member’s Bill</w:t>
      </w:r>
      <w:r w:rsidR="00D07C8E">
        <w:rPr>
          <w:rStyle w:val="ae"/>
          <w:rFonts w:ascii="Times New Roman" w:hAnsi="Times New Roman" w:cs="Times New Roman"/>
          <w:sz w:val="26"/>
          <w:szCs w:val="26"/>
        </w:rPr>
        <w:footnoteReference w:id="86"/>
      </w:r>
      <w:r w:rsidR="006E71CF" w:rsidRPr="00257ACB">
        <w:rPr>
          <w:rFonts w:ascii="Times New Roman" w:hAnsi="Times New Roman" w:cs="Times New Roman"/>
          <w:sz w:val="26"/>
          <w:szCs w:val="26"/>
        </w:rPr>
        <w:t xml:space="preserve"> to an official Government consultation aimed at maximizing ‘the opportunities of zero hours contracts while minimizing abuse and setting core standards that protect individuals</w:t>
      </w:r>
      <w:r w:rsidR="007A71C4" w:rsidRPr="00257ACB">
        <w:rPr>
          <w:rFonts w:ascii="Times New Roman" w:hAnsi="Times New Roman" w:cs="Times New Roman"/>
          <w:sz w:val="26"/>
          <w:szCs w:val="26"/>
        </w:rPr>
        <w:t>’</w:t>
      </w:r>
      <w:r w:rsidR="006E71CF" w:rsidRPr="00257ACB">
        <w:rPr>
          <w:rFonts w:ascii="Times New Roman" w:hAnsi="Times New Roman" w:cs="Times New Roman"/>
          <w:sz w:val="26"/>
          <w:szCs w:val="26"/>
        </w:rPr>
        <w:t xml:space="preserve"> </w:t>
      </w:r>
      <w:r w:rsidR="00D07C8E">
        <w:rPr>
          <w:rStyle w:val="ae"/>
          <w:rFonts w:ascii="Times New Roman" w:hAnsi="Times New Roman" w:cs="Times New Roman"/>
          <w:sz w:val="26"/>
          <w:szCs w:val="26"/>
        </w:rPr>
        <w:footnoteReference w:id="87"/>
      </w:r>
      <w:r w:rsidR="006E71CF" w:rsidRPr="00257ACB">
        <w:rPr>
          <w:rFonts w:ascii="Times New Roman" w:hAnsi="Times New Roman" w:cs="Times New Roman"/>
          <w:sz w:val="26"/>
          <w:szCs w:val="26"/>
        </w:rPr>
        <w:t xml:space="preserve">and a promise in the Queen’s Speech 2014 to ‘improve the fairness of contracts for low paid workers’ </w:t>
      </w:r>
      <w:r w:rsidR="00D07C8E">
        <w:rPr>
          <w:rStyle w:val="ae"/>
          <w:rFonts w:ascii="Times New Roman" w:hAnsi="Times New Roman" w:cs="Times New Roman"/>
          <w:sz w:val="26"/>
          <w:szCs w:val="26"/>
        </w:rPr>
        <w:footnoteReference w:id="88"/>
      </w:r>
      <w:r w:rsidR="006E71CF" w:rsidRPr="00257ACB">
        <w:rPr>
          <w:rFonts w:ascii="Times New Roman" w:hAnsi="Times New Roman" w:cs="Times New Roman"/>
          <w:sz w:val="26"/>
          <w:szCs w:val="26"/>
        </w:rPr>
        <w:t>by ‘strengthen[</w:t>
      </w:r>
      <w:proofErr w:type="spellStart"/>
      <w:r w:rsidR="006E71CF" w:rsidRPr="00257ACB">
        <w:rPr>
          <w:rFonts w:ascii="Times New Roman" w:hAnsi="Times New Roman" w:cs="Times New Roman"/>
          <w:sz w:val="26"/>
          <w:szCs w:val="26"/>
        </w:rPr>
        <w:t>ing</w:t>
      </w:r>
      <w:proofErr w:type="spellEnd"/>
      <w:r w:rsidR="006E71CF" w:rsidRPr="00257ACB">
        <w:rPr>
          <w:rFonts w:ascii="Times New Roman" w:hAnsi="Times New Roman" w:cs="Times New Roman"/>
          <w:sz w:val="26"/>
          <w:szCs w:val="26"/>
        </w:rPr>
        <w:t xml:space="preserve">] UK Employment Law by […] cracking down on abuse </w:t>
      </w:r>
      <w:r w:rsidR="00F759D0" w:rsidRPr="00257ACB">
        <w:rPr>
          <w:rFonts w:ascii="Times New Roman" w:hAnsi="Times New Roman" w:cs="Times New Roman"/>
          <w:sz w:val="26"/>
          <w:szCs w:val="26"/>
        </w:rPr>
        <w:t xml:space="preserve">in </w:t>
      </w:r>
      <w:r w:rsidR="006E71CF" w:rsidRPr="00257ACB">
        <w:rPr>
          <w:rFonts w:ascii="Times New Roman" w:hAnsi="Times New Roman" w:cs="Times New Roman"/>
          <w:sz w:val="26"/>
          <w:szCs w:val="26"/>
        </w:rPr>
        <w:t>zero hours contracts’.</w:t>
      </w:r>
      <w:r w:rsidR="00D07C8E">
        <w:rPr>
          <w:rStyle w:val="ae"/>
          <w:rFonts w:ascii="Times New Roman" w:hAnsi="Times New Roman" w:cs="Times New Roman"/>
          <w:sz w:val="26"/>
          <w:szCs w:val="26"/>
        </w:rPr>
        <w:footnoteReference w:id="89"/>
      </w:r>
      <w:r w:rsidR="00A73A2A" w:rsidRPr="00257ACB">
        <w:rPr>
          <w:rFonts w:ascii="Times New Roman" w:hAnsi="Times New Roman" w:cs="Times New Roman"/>
          <w:sz w:val="26"/>
          <w:szCs w:val="26"/>
        </w:rPr>
        <w:t xml:space="preserve"> </w:t>
      </w:r>
    </w:p>
    <w:p w14:paraId="09F777B4" w14:textId="77777777" w:rsidR="00AE5E63" w:rsidRPr="00257ACB" w:rsidRDefault="00AE5E63" w:rsidP="00140D00">
      <w:pPr>
        <w:pStyle w:val="a3"/>
        <w:ind w:leftChars="0" w:left="1480"/>
        <w:rPr>
          <w:rFonts w:ascii="Times New Roman" w:hAnsi="Times New Roman" w:cs="Times New Roman"/>
          <w:sz w:val="26"/>
          <w:szCs w:val="26"/>
        </w:rPr>
      </w:pPr>
      <w:bookmarkStart w:id="3" w:name="_Hlk509223832"/>
    </w:p>
    <w:p w14:paraId="4598D4C3" w14:textId="1DB7A59B" w:rsidR="00354E8F" w:rsidRPr="00257ACB" w:rsidRDefault="00BB10FF" w:rsidP="00EB67F3">
      <w:pPr>
        <w:pStyle w:val="a3"/>
        <w:numPr>
          <w:ilvl w:val="0"/>
          <w:numId w:val="10"/>
        </w:numPr>
        <w:ind w:leftChars="0"/>
        <w:rPr>
          <w:rFonts w:ascii="Times New Roman" w:hAnsi="Times New Roman" w:cs="Times New Roman"/>
          <w:sz w:val="26"/>
          <w:szCs w:val="26"/>
        </w:rPr>
      </w:pPr>
      <w:r w:rsidRPr="00257ACB">
        <w:rPr>
          <w:rFonts w:ascii="Times New Roman" w:hAnsi="Times New Roman" w:cs="Times New Roman"/>
          <w:sz w:val="26"/>
          <w:szCs w:val="26"/>
        </w:rPr>
        <w:t xml:space="preserve">Legal </w:t>
      </w:r>
      <w:r w:rsidR="008257E8" w:rsidRPr="00257ACB">
        <w:rPr>
          <w:rFonts w:ascii="Times New Roman" w:hAnsi="Times New Roman" w:cs="Times New Roman"/>
          <w:sz w:val="26"/>
          <w:szCs w:val="26"/>
        </w:rPr>
        <w:t>matters surrounding</w:t>
      </w:r>
      <w:r w:rsidR="00B46729" w:rsidRPr="00257ACB">
        <w:rPr>
          <w:rFonts w:ascii="Times New Roman" w:hAnsi="Times New Roman" w:cs="Times New Roman"/>
          <w:sz w:val="26"/>
          <w:szCs w:val="26"/>
        </w:rPr>
        <w:t xml:space="preserve"> zero-hours contracts </w:t>
      </w:r>
      <w:bookmarkEnd w:id="3"/>
    </w:p>
    <w:p w14:paraId="0661C98B" w14:textId="5CC07E5E" w:rsidR="00AB1E2A" w:rsidRPr="00257ACB" w:rsidRDefault="00354E8F" w:rsidP="00AB1E2A">
      <w:pPr>
        <w:pStyle w:val="a3"/>
        <w:rPr>
          <w:rFonts w:ascii="Times New Roman" w:hAnsi="Times New Roman" w:cs="Times New Roman"/>
          <w:sz w:val="26"/>
          <w:szCs w:val="26"/>
        </w:rPr>
      </w:pPr>
      <w:r w:rsidRPr="00257ACB">
        <w:rPr>
          <w:rFonts w:ascii="Times New Roman" w:hAnsi="Times New Roman" w:cs="Times New Roman"/>
          <w:sz w:val="26"/>
          <w:szCs w:val="26"/>
        </w:rPr>
        <w:t xml:space="preserve">‘Zero hours contract’ is </w:t>
      </w:r>
      <w:r w:rsidR="00385B48" w:rsidRPr="00257ACB">
        <w:rPr>
          <w:rFonts w:ascii="Times New Roman" w:hAnsi="Times New Roman" w:cs="Times New Roman"/>
          <w:sz w:val="26"/>
          <w:szCs w:val="26"/>
        </w:rPr>
        <w:t xml:space="preserve">not a legal term </w:t>
      </w:r>
      <w:r w:rsidR="00A40754" w:rsidRPr="00257ACB">
        <w:rPr>
          <w:rFonts w:ascii="Times New Roman" w:hAnsi="Times New Roman" w:cs="Times New Roman"/>
          <w:sz w:val="26"/>
          <w:szCs w:val="26"/>
        </w:rPr>
        <w:t xml:space="preserve">but </w:t>
      </w:r>
      <w:r w:rsidRPr="00257ACB">
        <w:rPr>
          <w:rFonts w:ascii="Times New Roman" w:hAnsi="Times New Roman" w:cs="Times New Roman"/>
          <w:sz w:val="26"/>
          <w:szCs w:val="26"/>
        </w:rPr>
        <w:t>used to describe many different types of casual agreements between an employer and an individual. Generally, a zero hours contract is</w:t>
      </w:r>
      <w:r w:rsidR="002954DF" w:rsidRPr="00257ACB">
        <w:rPr>
          <w:rFonts w:ascii="Times New Roman" w:hAnsi="Times New Roman" w:cs="Times New Roman"/>
          <w:sz w:val="26"/>
          <w:szCs w:val="26"/>
        </w:rPr>
        <w:t xml:space="preserve"> one in which the employer does not guarantee the individual </w:t>
      </w:r>
      <w:r w:rsidR="00CA410C" w:rsidRPr="00257ACB">
        <w:rPr>
          <w:rFonts w:ascii="Times New Roman" w:hAnsi="Times New Roman" w:cs="Times New Roman"/>
          <w:sz w:val="26"/>
          <w:szCs w:val="26"/>
        </w:rPr>
        <w:t xml:space="preserve">worker </w:t>
      </w:r>
      <w:r w:rsidR="002954DF" w:rsidRPr="00257ACB">
        <w:rPr>
          <w:rFonts w:ascii="Times New Roman" w:hAnsi="Times New Roman" w:cs="Times New Roman"/>
          <w:sz w:val="26"/>
          <w:szCs w:val="26"/>
        </w:rPr>
        <w:t>any hours o</w:t>
      </w:r>
      <w:r w:rsidR="0093644A" w:rsidRPr="00257ACB">
        <w:rPr>
          <w:rFonts w:ascii="Times New Roman" w:hAnsi="Times New Roman" w:cs="Times New Roman"/>
          <w:sz w:val="26"/>
          <w:szCs w:val="26"/>
        </w:rPr>
        <w:t>f</w:t>
      </w:r>
      <w:r w:rsidR="002954DF" w:rsidRPr="00257ACB">
        <w:rPr>
          <w:rFonts w:ascii="Times New Roman" w:hAnsi="Times New Roman" w:cs="Times New Roman"/>
          <w:sz w:val="26"/>
          <w:szCs w:val="26"/>
        </w:rPr>
        <w:t xml:space="preserve"> work.</w:t>
      </w:r>
      <w:r w:rsidR="00D07C8E">
        <w:rPr>
          <w:rStyle w:val="ae"/>
          <w:rFonts w:ascii="Times New Roman" w:hAnsi="Times New Roman" w:cs="Times New Roman"/>
          <w:sz w:val="26"/>
          <w:szCs w:val="26"/>
        </w:rPr>
        <w:footnoteReference w:id="90"/>
      </w:r>
      <w:r w:rsidR="000C7C15" w:rsidRPr="00257ACB">
        <w:rPr>
          <w:rFonts w:ascii="Times New Roman" w:hAnsi="Times New Roman" w:cs="Times New Roman"/>
          <w:sz w:val="26"/>
          <w:szCs w:val="26"/>
        </w:rPr>
        <w:t>T</w:t>
      </w:r>
      <w:r w:rsidR="002954DF" w:rsidRPr="00257ACB">
        <w:rPr>
          <w:rFonts w:ascii="Times New Roman" w:hAnsi="Times New Roman" w:cs="Times New Roman"/>
          <w:sz w:val="26"/>
          <w:szCs w:val="26"/>
        </w:rPr>
        <w:t xml:space="preserve">he employer offers the individual work when it </w:t>
      </w:r>
      <w:proofErr w:type="gramStart"/>
      <w:r w:rsidR="002954DF" w:rsidRPr="00257ACB">
        <w:rPr>
          <w:rFonts w:ascii="Times New Roman" w:hAnsi="Times New Roman" w:cs="Times New Roman"/>
          <w:sz w:val="26"/>
          <w:szCs w:val="26"/>
        </w:rPr>
        <w:t>arises</w:t>
      </w:r>
      <w:proofErr w:type="gramEnd"/>
      <w:r w:rsidR="002954DF" w:rsidRPr="00257ACB">
        <w:rPr>
          <w:rFonts w:ascii="Times New Roman" w:hAnsi="Times New Roman" w:cs="Times New Roman"/>
          <w:sz w:val="26"/>
          <w:szCs w:val="26"/>
        </w:rPr>
        <w:t xml:space="preserve"> and the individual can either accept the work offered, or decide not to take up the offer of work on that occasion.</w:t>
      </w:r>
      <w:r w:rsidR="000C7C15" w:rsidRPr="00257ACB">
        <w:rPr>
          <w:rFonts w:ascii="Times New Roman" w:hAnsi="Times New Roman" w:cs="Times New Roman"/>
          <w:sz w:val="26"/>
          <w:szCs w:val="26"/>
        </w:rPr>
        <w:t xml:space="preserve"> Under the zero hours contract, regardless of the working hours </w:t>
      </w:r>
      <w:proofErr w:type="gramStart"/>
      <w:r w:rsidR="000C7C15" w:rsidRPr="00257ACB">
        <w:rPr>
          <w:rFonts w:ascii="Times New Roman" w:hAnsi="Times New Roman" w:cs="Times New Roman"/>
          <w:sz w:val="26"/>
          <w:szCs w:val="26"/>
        </w:rPr>
        <w:lastRenderedPageBreak/>
        <w:t>actually offered</w:t>
      </w:r>
      <w:proofErr w:type="gramEnd"/>
      <w:r w:rsidR="000C7C15" w:rsidRPr="00257ACB">
        <w:rPr>
          <w:rFonts w:ascii="Times New Roman" w:hAnsi="Times New Roman" w:cs="Times New Roman"/>
          <w:sz w:val="26"/>
          <w:szCs w:val="26"/>
        </w:rPr>
        <w:t xml:space="preserve">, the </w:t>
      </w:r>
      <w:r w:rsidRPr="00257ACB">
        <w:rPr>
          <w:rFonts w:ascii="Times New Roman" w:hAnsi="Times New Roman" w:cs="Times New Roman"/>
          <w:sz w:val="26"/>
          <w:szCs w:val="26"/>
        </w:rPr>
        <w:t>employer must pay at least the National Minimum Wage</w:t>
      </w:r>
      <w:r w:rsidR="00A835B4" w:rsidRPr="00257ACB">
        <w:rPr>
          <w:rFonts w:ascii="Times New Roman" w:hAnsi="Times New Roman" w:cs="Times New Roman"/>
          <w:sz w:val="26"/>
          <w:szCs w:val="26"/>
        </w:rPr>
        <w:t>.</w:t>
      </w:r>
      <w:r w:rsidR="00D07C8E">
        <w:rPr>
          <w:rStyle w:val="ae"/>
          <w:rFonts w:ascii="Times New Roman" w:hAnsi="Times New Roman" w:cs="Times New Roman"/>
          <w:sz w:val="26"/>
          <w:szCs w:val="26"/>
        </w:rPr>
        <w:footnoteReference w:id="91"/>
      </w:r>
      <w:r w:rsidR="00A835B4" w:rsidRPr="00257ACB">
        <w:rPr>
          <w:rFonts w:ascii="Times New Roman" w:hAnsi="Times New Roman" w:cs="Times New Roman"/>
          <w:sz w:val="26"/>
          <w:szCs w:val="26"/>
        </w:rPr>
        <w:t xml:space="preserve"> Zero-hours work can take form of not only the contract but also self-employed undertaking a zero hours type of work.</w:t>
      </w:r>
      <w:r w:rsidR="00902E0D" w:rsidRPr="00257ACB">
        <w:rPr>
          <w:rFonts w:ascii="Times New Roman" w:hAnsi="Times New Roman" w:cs="Times New Roman"/>
          <w:sz w:val="26"/>
          <w:szCs w:val="26"/>
        </w:rPr>
        <w:t xml:space="preserve"> </w:t>
      </w:r>
      <w:r w:rsidR="00736B14" w:rsidRPr="00257ACB">
        <w:rPr>
          <w:rFonts w:ascii="Times New Roman" w:hAnsi="Times New Roman" w:cs="Times New Roman"/>
          <w:sz w:val="26"/>
          <w:szCs w:val="26"/>
        </w:rPr>
        <w:t xml:space="preserve">The guideline published by the government stipulates that everyone employed on a zero hours contract is </w:t>
      </w:r>
      <w:r w:rsidR="00B547AB" w:rsidRPr="00257ACB">
        <w:rPr>
          <w:rFonts w:ascii="Times New Roman" w:hAnsi="Times New Roman" w:cs="Times New Roman"/>
          <w:sz w:val="26"/>
          <w:szCs w:val="26"/>
        </w:rPr>
        <w:t>entitled to statutory employment rights</w:t>
      </w:r>
      <w:r w:rsidR="00736B14" w:rsidRPr="00257ACB">
        <w:rPr>
          <w:rFonts w:ascii="Times New Roman" w:hAnsi="Times New Roman" w:cs="Times New Roman"/>
          <w:sz w:val="26"/>
          <w:szCs w:val="26"/>
        </w:rPr>
        <w:t xml:space="preserve"> without any exceptions.</w:t>
      </w:r>
      <w:r w:rsidR="00D07C8E">
        <w:rPr>
          <w:rStyle w:val="ae"/>
          <w:rFonts w:ascii="Times New Roman" w:hAnsi="Times New Roman" w:cs="Times New Roman"/>
          <w:sz w:val="26"/>
          <w:szCs w:val="26"/>
        </w:rPr>
        <w:footnoteReference w:id="92"/>
      </w:r>
      <w:r w:rsidR="00736B14" w:rsidRPr="00257ACB">
        <w:rPr>
          <w:rFonts w:ascii="Times New Roman" w:hAnsi="Times New Roman" w:cs="Times New Roman"/>
          <w:sz w:val="26"/>
          <w:szCs w:val="26"/>
        </w:rPr>
        <w:t xml:space="preserve"> </w:t>
      </w:r>
      <w:r w:rsidR="00091D1A" w:rsidRPr="00257ACB">
        <w:rPr>
          <w:rFonts w:ascii="Times New Roman" w:hAnsi="Times New Roman" w:cs="Times New Roman"/>
          <w:sz w:val="26"/>
          <w:szCs w:val="26"/>
        </w:rPr>
        <w:t>Also this guideline says that a</w:t>
      </w:r>
      <w:r w:rsidR="00B547AB" w:rsidRPr="00257ACB">
        <w:rPr>
          <w:rFonts w:ascii="Times New Roman" w:hAnsi="Times New Roman" w:cs="Times New Roman"/>
          <w:sz w:val="26"/>
          <w:szCs w:val="26"/>
        </w:rPr>
        <w:t xml:space="preserve"> person will benefit from the employment rights associated with their employment status and individuals on a zero hours contract will either have the employment status of a ’worker’ or an ‘employee’.</w:t>
      </w:r>
      <w:r w:rsidR="00D07C8E">
        <w:rPr>
          <w:rStyle w:val="ae"/>
          <w:rFonts w:ascii="Times New Roman" w:hAnsi="Times New Roman" w:cs="Times New Roman"/>
          <w:sz w:val="26"/>
          <w:szCs w:val="26"/>
        </w:rPr>
        <w:footnoteReference w:id="93"/>
      </w:r>
      <w:r w:rsidR="00091D1A" w:rsidRPr="00257ACB">
        <w:rPr>
          <w:rFonts w:ascii="Times New Roman" w:hAnsi="Times New Roman" w:cs="Times New Roman"/>
          <w:sz w:val="26"/>
          <w:szCs w:val="26"/>
        </w:rPr>
        <w:t xml:space="preserve"> </w:t>
      </w:r>
      <w:r w:rsidR="00EC3411" w:rsidRPr="00257ACB">
        <w:rPr>
          <w:rFonts w:ascii="Times New Roman" w:hAnsi="Times New Roman" w:cs="Times New Roman"/>
          <w:sz w:val="26"/>
          <w:szCs w:val="26"/>
        </w:rPr>
        <w:t>Even if it can be said that u</w:t>
      </w:r>
      <w:r w:rsidR="007C5175" w:rsidRPr="00257ACB">
        <w:rPr>
          <w:rFonts w:ascii="Times New Roman" w:hAnsi="Times New Roman" w:cs="Times New Roman"/>
          <w:sz w:val="26"/>
          <w:szCs w:val="26"/>
        </w:rPr>
        <w:t xml:space="preserve">nder UK law </w:t>
      </w:r>
      <w:r w:rsidR="00EC3411" w:rsidRPr="00257ACB">
        <w:rPr>
          <w:rFonts w:ascii="Times New Roman" w:hAnsi="Times New Roman" w:cs="Times New Roman"/>
          <w:sz w:val="26"/>
          <w:szCs w:val="26"/>
        </w:rPr>
        <w:t xml:space="preserve">there is </w:t>
      </w:r>
      <w:r w:rsidR="007C5175" w:rsidRPr="00257ACB">
        <w:rPr>
          <w:rFonts w:ascii="Times New Roman" w:hAnsi="Times New Roman" w:cs="Times New Roman"/>
          <w:sz w:val="26"/>
          <w:szCs w:val="26"/>
        </w:rPr>
        <w:t xml:space="preserve">a distinction </w:t>
      </w:r>
      <w:r w:rsidR="00EC3411" w:rsidRPr="00257ACB">
        <w:rPr>
          <w:rFonts w:ascii="Times New Roman" w:hAnsi="Times New Roman" w:cs="Times New Roman"/>
          <w:sz w:val="26"/>
          <w:szCs w:val="26"/>
        </w:rPr>
        <w:t>drawn be</w:t>
      </w:r>
      <w:r w:rsidR="007C5175" w:rsidRPr="00257ACB">
        <w:rPr>
          <w:rFonts w:ascii="Times New Roman" w:hAnsi="Times New Roman" w:cs="Times New Roman"/>
          <w:sz w:val="26"/>
          <w:szCs w:val="26"/>
        </w:rPr>
        <w:t>tween a mere ‘worker’ and an ‘employee’, an employee having more legal rights than a worker</w:t>
      </w:r>
      <w:r w:rsidR="00EC3411" w:rsidRPr="00257ACB">
        <w:rPr>
          <w:rFonts w:ascii="Times New Roman" w:hAnsi="Times New Roman" w:cs="Times New Roman"/>
          <w:sz w:val="26"/>
          <w:szCs w:val="26"/>
        </w:rPr>
        <w:t>,</w:t>
      </w:r>
      <w:r w:rsidR="00D07C8E">
        <w:rPr>
          <w:rStyle w:val="ae"/>
          <w:rFonts w:ascii="Times New Roman" w:hAnsi="Times New Roman" w:cs="Times New Roman"/>
          <w:sz w:val="26"/>
          <w:szCs w:val="26"/>
        </w:rPr>
        <w:footnoteReference w:id="94"/>
      </w:r>
      <w:r w:rsidR="00EC3411" w:rsidRPr="00257ACB">
        <w:rPr>
          <w:rFonts w:ascii="Times New Roman" w:hAnsi="Times New Roman" w:cs="Times New Roman"/>
          <w:sz w:val="26"/>
          <w:szCs w:val="26"/>
        </w:rPr>
        <w:t xml:space="preserve"> </w:t>
      </w:r>
      <w:r w:rsidR="00091D1A" w:rsidRPr="00257ACB">
        <w:rPr>
          <w:rFonts w:ascii="Times New Roman" w:hAnsi="Times New Roman" w:cs="Times New Roman"/>
          <w:sz w:val="26"/>
          <w:szCs w:val="26"/>
        </w:rPr>
        <w:t>an</w:t>
      </w:r>
      <w:r w:rsidR="00B547AB" w:rsidRPr="00257ACB">
        <w:rPr>
          <w:rFonts w:ascii="Times New Roman" w:hAnsi="Times New Roman" w:cs="Times New Roman"/>
          <w:sz w:val="26"/>
          <w:szCs w:val="26"/>
        </w:rPr>
        <w:t>y individual on a zero hours contract who is a ‘worker’ will be entitled to at least the National Minimum Wage, paid annual leave, rest breaks and protection from discrimination.</w:t>
      </w:r>
      <w:r w:rsidR="00D07C8E">
        <w:rPr>
          <w:rStyle w:val="ae"/>
          <w:rFonts w:ascii="Times New Roman" w:hAnsi="Times New Roman" w:cs="Times New Roman"/>
          <w:sz w:val="26"/>
          <w:szCs w:val="26"/>
        </w:rPr>
        <w:footnoteReference w:id="95"/>
      </w:r>
      <w:r w:rsidR="00BB10FF" w:rsidRPr="00257ACB">
        <w:rPr>
          <w:rFonts w:ascii="Times New Roman" w:hAnsi="Times New Roman" w:cs="Times New Roman"/>
          <w:sz w:val="26"/>
          <w:szCs w:val="26"/>
        </w:rPr>
        <w:t xml:space="preserve"> However, o</w:t>
      </w:r>
      <w:r w:rsidR="00AB1E2A" w:rsidRPr="00257ACB">
        <w:rPr>
          <w:rFonts w:ascii="Times New Roman" w:hAnsi="Times New Roman" w:cs="Times New Roman"/>
          <w:sz w:val="26"/>
          <w:szCs w:val="26"/>
        </w:rPr>
        <w:t xml:space="preserve">ne of the major </w:t>
      </w:r>
      <w:r w:rsidR="00F377E9" w:rsidRPr="00257ACB">
        <w:rPr>
          <w:rFonts w:ascii="Times New Roman" w:hAnsi="Times New Roman" w:cs="Times New Roman"/>
          <w:sz w:val="26"/>
          <w:szCs w:val="26"/>
        </w:rPr>
        <w:t>problem</w:t>
      </w:r>
      <w:r w:rsidR="00944D2F" w:rsidRPr="00257ACB">
        <w:rPr>
          <w:rFonts w:ascii="Times New Roman" w:hAnsi="Times New Roman" w:cs="Times New Roman"/>
          <w:sz w:val="26"/>
          <w:szCs w:val="26"/>
        </w:rPr>
        <w:t>s</w:t>
      </w:r>
      <w:r w:rsidR="00F377E9" w:rsidRPr="00257ACB">
        <w:rPr>
          <w:rFonts w:ascii="Times New Roman" w:hAnsi="Times New Roman" w:cs="Times New Roman"/>
          <w:sz w:val="26"/>
          <w:szCs w:val="26"/>
        </w:rPr>
        <w:t xml:space="preserve"> surrounding Zero-hours contract </w:t>
      </w:r>
      <w:r w:rsidR="00AB1E2A" w:rsidRPr="00257ACB">
        <w:rPr>
          <w:rFonts w:ascii="Times New Roman" w:hAnsi="Times New Roman" w:cs="Times New Roman"/>
          <w:sz w:val="26"/>
          <w:szCs w:val="26"/>
        </w:rPr>
        <w:t xml:space="preserve">can be said that zero hours contract is not legally defined term with no </w:t>
      </w:r>
      <w:r w:rsidR="00AF29E7" w:rsidRPr="00257ACB">
        <w:rPr>
          <w:rFonts w:ascii="Times New Roman" w:hAnsi="Times New Roman" w:cs="Times New Roman"/>
          <w:sz w:val="26"/>
          <w:szCs w:val="26"/>
        </w:rPr>
        <w:t>unitary notion.</w:t>
      </w:r>
      <w:r w:rsidR="00D07C8E">
        <w:rPr>
          <w:rStyle w:val="ae"/>
          <w:rFonts w:ascii="Times New Roman" w:hAnsi="Times New Roman" w:cs="Times New Roman"/>
          <w:sz w:val="26"/>
          <w:szCs w:val="26"/>
        </w:rPr>
        <w:footnoteReference w:id="96"/>
      </w:r>
      <w:r w:rsidR="00AB1E2A" w:rsidRPr="00257ACB">
        <w:rPr>
          <w:rFonts w:ascii="Times New Roman" w:hAnsi="Times New Roman" w:cs="Times New Roman"/>
          <w:sz w:val="26"/>
          <w:szCs w:val="26"/>
        </w:rPr>
        <w:t xml:space="preserve"> As the Secretary of State for Business, Innovation and Skills, Dr. Vince Cable MP noted during a 2013 Opposition Day debate in Parliament about the definitional problems surrounding the Zero-hours contract</w:t>
      </w:r>
      <w:r w:rsidR="00AF29E7" w:rsidRPr="00257ACB">
        <w:rPr>
          <w:rFonts w:ascii="Times New Roman" w:hAnsi="Times New Roman" w:cs="Times New Roman"/>
          <w:sz w:val="26"/>
          <w:szCs w:val="26"/>
        </w:rPr>
        <w:t>,</w:t>
      </w:r>
      <w:r w:rsidR="00AB1E2A" w:rsidRPr="00257ACB">
        <w:rPr>
          <w:rFonts w:ascii="Times New Roman" w:hAnsi="Times New Roman" w:cs="Times New Roman"/>
          <w:sz w:val="26"/>
          <w:szCs w:val="26"/>
        </w:rPr>
        <w:t xml:space="preserve"> </w:t>
      </w:r>
      <w:r w:rsidR="00AF29E7" w:rsidRPr="00257ACB">
        <w:rPr>
          <w:rFonts w:ascii="Times New Roman" w:hAnsi="Times New Roman" w:cs="Times New Roman"/>
          <w:sz w:val="26"/>
          <w:szCs w:val="26"/>
        </w:rPr>
        <w:t>there is an issue about what</w:t>
      </w:r>
      <w:r w:rsidR="00AB1E2A" w:rsidRPr="00257ACB">
        <w:rPr>
          <w:rFonts w:ascii="Times New Roman" w:hAnsi="Times New Roman" w:cs="Times New Roman"/>
          <w:sz w:val="26"/>
          <w:szCs w:val="26"/>
        </w:rPr>
        <w:t xml:space="preserve"> </w:t>
      </w:r>
      <w:r w:rsidR="00C23087" w:rsidRPr="00257ACB">
        <w:rPr>
          <w:rFonts w:ascii="Times New Roman" w:hAnsi="Times New Roman" w:cs="Times New Roman"/>
          <w:sz w:val="26"/>
          <w:szCs w:val="26"/>
        </w:rPr>
        <w:t xml:space="preserve">the </w:t>
      </w:r>
      <w:r w:rsidR="00AB1E2A" w:rsidRPr="00257ACB">
        <w:rPr>
          <w:rFonts w:ascii="Times New Roman" w:hAnsi="Times New Roman" w:cs="Times New Roman"/>
          <w:sz w:val="26"/>
          <w:szCs w:val="26"/>
        </w:rPr>
        <w:t xml:space="preserve">zero-hours contracts </w:t>
      </w:r>
      <w:r w:rsidR="00AF29E7" w:rsidRPr="00257ACB">
        <w:rPr>
          <w:rFonts w:ascii="Times New Roman" w:hAnsi="Times New Roman" w:cs="Times New Roman"/>
          <w:sz w:val="26"/>
          <w:szCs w:val="26"/>
        </w:rPr>
        <w:t>actually</w:t>
      </w:r>
      <w:r w:rsidR="00C23087" w:rsidRPr="00257ACB">
        <w:rPr>
          <w:rFonts w:ascii="Times New Roman" w:hAnsi="Times New Roman" w:cs="Times New Roman"/>
          <w:sz w:val="26"/>
          <w:szCs w:val="26"/>
        </w:rPr>
        <w:t xml:space="preserve"> are</w:t>
      </w:r>
      <w:r w:rsidR="00AF29E7" w:rsidRPr="00257ACB">
        <w:rPr>
          <w:rFonts w:ascii="Times New Roman" w:hAnsi="Times New Roman" w:cs="Times New Roman"/>
          <w:sz w:val="26"/>
          <w:szCs w:val="26"/>
        </w:rPr>
        <w:t xml:space="preserve">, because they are not clearly defined </w:t>
      </w:r>
      <w:r w:rsidR="00C23087" w:rsidRPr="00257ACB">
        <w:rPr>
          <w:rFonts w:ascii="Times New Roman" w:hAnsi="Times New Roman" w:cs="Times New Roman"/>
          <w:sz w:val="26"/>
          <w:szCs w:val="26"/>
        </w:rPr>
        <w:t xml:space="preserve">and </w:t>
      </w:r>
      <w:r w:rsidR="00AF29E7" w:rsidRPr="00257ACB">
        <w:rPr>
          <w:rFonts w:ascii="Times New Roman" w:hAnsi="Times New Roman" w:cs="Times New Roman"/>
          <w:sz w:val="26"/>
          <w:szCs w:val="26"/>
        </w:rPr>
        <w:t xml:space="preserve">whole lot of </w:t>
      </w:r>
      <w:r w:rsidR="00AF29E7" w:rsidRPr="00257ACB">
        <w:rPr>
          <w:rFonts w:ascii="Times New Roman" w:hAnsi="Times New Roman" w:cs="Times New Roman"/>
          <w:sz w:val="26"/>
          <w:szCs w:val="26"/>
        </w:rPr>
        <w:lastRenderedPageBreak/>
        <w:t>contractual arrangements of enormous variance</w:t>
      </w:r>
      <w:r w:rsidR="000D7678" w:rsidRPr="00257ACB">
        <w:rPr>
          <w:rFonts w:ascii="Times New Roman" w:hAnsi="Times New Roman" w:cs="Times New Roman"/>
          <w:sz w:val="26"/>
          <w:szCs w:val="26"/>
        </w:rPr>
        <w:t>s</w:t>
      </w:r>
      <w:r w:rsidR="00AF29E7" w:rsidRPr="00257ACB">
        <w:rPr>
          <w:rFonts w:ascii="Times New Roman" w:hAnsi="Times New Roman" w:cs="Times New Roman"/>
          <w:sz w:val="26"/>
          <w:szCs w:val="26"/>
        </w:rPr>
        <w:t>.</w:t>
      </w:r>
      <w:r w:rsidR="00D07C8E">
        <w:rPr>
          <w:rStyle w:val="ae"/>
          <w:rFonts w:ascii="Times New Roman" w:hAnsi="Times New Roman" w:cs="Times New Roman"/>
          <w:sz w:val="26"/>
          <w:szCs w:val="26"/>
        </w:rPr>
        <w:footnoteReference w:id="97"/>
      </w:r>
      <w:r w:rsidR="00C23087" w:rsidRPr="00257ACB">
        <w:rPr>
          <w:rFonts w:ascii="Times New Roman" w:hAnsi="Times New Roman" w:cs="Times New Roman"/>
          <w:sz w:val="26"/>
          <w:szCs w:val="26"/>
        </w:rPr>
        <w:t xml:space="preserve"> </w:t>
      </w:r>
    </w:p>
    <w:p w14:paraId="35D85A08" w14:textId="78EC7C57" w:rsidR="0045586C" w:rsidRPr="00257ACB" w:rsidRDefault="005F3AA7" w:rsidP="00185848">
      <w:pPr>
        <w:pStyle w:val="a3"/>
        <w:rPr>
          <w:rFonts w:ascii="Times New Roman" w:hAnsi="Times New Roman" w:cs="Times New Roman"/>
          <w:sz w:val="26"/>
          <w:szCs w:val="26"/>
        </w:rPr>
      </w:pPr>
      <w:r w:rsidRPr="00257ACB">
        <w:rPr>
          <w:rFonts w:ascii="Times New Roman" w:hAnsi="Times New Roman" w:cs="Times New Roman"/>
          <w:sz w:val="26"/>
          <w:szCs w:val="26"/>
        </w:rPr>
        <w:t>It can also be recognized that the z</w:t>
      </w:r>
      <w:r w:rsidR="00A97C2A" w:rsidRPr="00257ACB">
        <w:rPr>
          <w:rFonts w:ascii="Times New Roman" w:hAnsi="Times New Roman" w:cs="Times New Roman"/>
          <w:sz w:val="26"/>
          <w:szCs w:val="26"/>
        </w:rPr>
        <w:t>ero-hour</w:t>
      </w:r>
      <w:r w:rsidR="00B856FF" w:rsidRPr="00257ACB">
        <w:rPr>
          <w:rFonts w:ascii="Times New Roman" w:hAnsi="Times New Roman" w:cs="Times New Roman"/>
          <w:sz w:val="26"/>
          <w:szCs w:val="26"/>
        </w:rPr>
        <w:t>s work arrangement are not a new phenomenon</w:t>
      </w:r>
      <w:r w:rsidR="004224A3" w:rsidRPr="00257ACB">
        <w:rPr>
          <w:rFonts w:ascii="Times New Roman" w:hAnsi="Times New Roman" w:cs="Times New Roman"/>
          <w:sz w:val="26"/>
          <w:szCs w:val="26"/>
        </w:rPr>
        <w:t xml:space="preserve"> and are called</w:t>
      </w:r>
      <w:r w:rsidR="00B856FF" w:rsidRPr="00257ACB">
        <w:rPr>
          <w:rFonts w:ascii="Times New Roman" w:hAnsi="Times New Roman" w:cs="Times New Roman"/>
          <w:sz w:val="26"/>
          <w:szCs w:val="26"/>
        </w:rPr>
        <w:t xml:space="preserve"> part of a much larger tendency toward numerical flexibility [which has been] particularly marked [since] the 1980s’.</w:t>
      </w:r>
      <w:r w:rsidR="00D07C8E">
        <w:rPr>
          <w:rStyle w:val="ae"/>
          <w:rFonts w:ascii="Times New Roman" w:hAnsi="Times New Roman" w:cs="Times New Roman"/>
          <w:sz w:val="26"/>
          <w:szCs w:val="26"/>
        </w:rPr>
        <w:footnoteReference w:id="98"/>
      </w:r>
      <w:r w:rsidR="000C5469" w:rsidRPr="00257ACB">
        <w:rPr>
          <w:rFonts w:ascii="Times New Roman" w:hAnsi="Times New Roman" w:cs="Times New Roman"/>
          <w:sz w:val="26"/>
          <w:szCs w:val="26"/>
        </w:rPr>
        <w:t xml:space="preserve"> Litigation arising from the use of Zero-</w:t>
      </w:r>
      <w:r w:rsidR="00F44AFE" w:rsidRPr="00257ACB">
        <w:rPr>
          <w:rFonts w:ascii="Times New Roman" w:hAnsi="Times New Roman" w:cs="Times New Roman"/>
          <w:sz w:val="26"/>
          <w:szCs w:val="26"/>
        </w:rPr>
        <w:t>Hours Contracts to allow employers numerical flexibility and attempt to avoid the application of statutory protection can be traced back nearly forty years.</w:t>
      </w:r>
      <w:r w:rsidR="00D07C8E">
        <w:rPr>
          <w:rStyle w:val="ae"/>
          <w:rFonts w:ascii="Times New Roman" w:hAnsi="Times New Roman" w:cs="Times New Roman"/>
          <w:sz w:val="26"/>
          <w:szCs w:val="26"/>
        </w:rPr>
        <w:footnoteReference w:id="99"/>
      </w:r>
      <w:r w:rsidR="00D028A2" w:rsidRPr="00257ACB">
        <w:rPr>
          <w:rFonts w:ascii="Times New Roman" w:hAnsi="Times New Roman" w:cs="Times New Roman"/>
          <w:sz w:val="26"/>
          <w:szCs w:val="26"/>
        </w:rPr>
        <w:t xml:space="preserve"> </w:t>
      </w:r>
      <w:r w:rsidR="000E16AD" w:rsidRPr="00257ACB">
        <w:rPr>
          <w:rFonts w:ascii="Times New Roman" w:hAnsi="Times New Roman" w:cs="Times New Roman"/>
          <w:sz w:val="26"/>
          <w:szCs w:val="26"/>
        </w:rPr>
        <w:t xml:space="preserve">In </w:t>
      </w:r>
      <w:proofErr w:type="spellStart"/>
      <w:r w:rsidR="000E16AD" w:rsidRPr="00257ACB">
        <w:rPr>
          <w:rFonts w:ascii="Times New Roman" w:hAnsi="Times New Roman" w:cs="Times New Roman"/>
          <w:sz w:val="26"/>
          <w:szCs w:val="26"/>
        </w:rPr>
        <w:t>Mailway</w:t>
      </w:r>
      <w:proofErr w:type="spellEnd"/>
      <w:r w:rsidR="00D07C8E">
        <w:rPr>
          <w:rStyle w:val="ae"/>
          <w:rFonts w:ascii="Times New Roman" w:hAnsi="Times New Roman" w:cs="Times New Roman"/>
          <w:sz w:val="26"/>
          <w:szCs w:val="26"/>
        </w:rPr>
        <w:footnoteReference w:id="100"/>
      </w:r>
      <w:r w:rsidR="000E16AD" w:rsidRPr="00257ACB">
        <w:rPr>
          <w:rFonts w:ascii="Times New Roman" w:hAnsi="Times New Roman" w:cs="Times New Roman"/>
          <w:sz w:val="26"/>
          <w:szCs w:val="26"/>
        </w:rPr>
        <w:t>, for example, the claimant postal packer ‘could and would only attend for work in accordance with the need expressed by the employers.’</w:t>
      </w:r>
      <w:r w:rsidR="00D07C8E">
        <w:rPr>
          <w:rStyle w:val="ae"/>
          <w:rFonts w:ascii="Times New Roman" w:hAnsi="Times New Roman" w:cs="Times New Roman"/>
          <w:sz w:val="26"/>
          <w:szCs w:val="26"/>
        </w:rPr>
        <w:footnoteReference w:id="101"/>
      </w:r>
      <w:r w:rsidR="000E16AD" w:rsidRPr="00257ACB">
        <w:rPr>
          <w:rFonts w:ascii="Times New Roman" w:hAnsi="Times New Roman" w:cs="Times New Roman"/>
          <w:sz w:val="26"/>
          <w:szCs w:val="26"/>
        </w:rPr>
        <w:t xml:space="preserve"> A study by Katherine Cave in the 1990s showed the already widespread use of ‘something that could be classified as zero hours contracts’;</w:t>
      </w:r>
      <w:r w:rsidR="00D07C8E">
        <w:rPr>
          <w:rStyle w:val="ae"/>
          <w:rFonts w:ascii="Times New Roman" w:hAnsi="Times New Roman" w:cs="Times New Roman"/>
          <w:sz w:val="26"/>
          <w:szCs w:val="26"/>
        </w:rPr>
        <w:footnoteReference w:id="102"/>
      </w:r>
      <w:r w:rsidR="000E16AD" w:rsidRPr="00257ACB">
        <w:rPr>
          <w:rFonts w:ascii="Times New Roman" w:hAnsi="Times New Roman" w:cs="Times New Roman"/>
          <w:sz w:val="26"/>
          <w:szCs w:val="26"/>
        </w:rPr>
        <w:t xml:space="preserve"> with a strong growth trend as an area where there has been abuse’</w:t>
      </w:r>
      <w:r w:rsidR="00D07C8E">
        <w:rPr>
          <w:rStyle w:val="ae"/>
          <w:rFonts w:ascii="Times New Roman" w:hAnsi="Times New Roman" w:cs="Times New Roman"/>
          <w:sz w:val="26"/>
          <w:szCs w:val="26"/>
        </w:rPr>
        <w:footnoteReference w:id="103"/>
      </w:r>
      <w:r w:rsidR="000E16AD" w:rsidRPr="00257ACB">
        <w:rPr>
          <w:rFonts w:ascii="Times New Roman" w:hAnsi="Times New Roman" w:cs="Times New Roman"/>
          <w:sz w:val="26"/>
          <w:szCs w:val="26"/>
        </w:rPr>
        <w:t xml:space="preserve"> continuing in the subsequent decade.</w:t>
      </w:r>
      <w:r w:rsidR="00D07C8E">
        <w:rPr>
          <w:rStyle w:val="ae"/>
          <w:rFonts w:ascii="Times New Roman" w:hAnsi="Times New Roman" w:cs="Times New Roman"/>
          <w:sz w:val="26"/>
          <w:szCs w:val="26"/>
        </w:rPr>
        <w:footnoteReference w:id="104"/>
      </w:r>
      <w:r w:rsidR="00736734" w:rsidRPr="00257ACB">
        <w:rPr>
          <w:rFonts w:ascii="Times New Roman" w:hAnsi="Times New Roman" w:cs="Times New Roman"/>
          <w:sz w:val="26"/>
          <w:szCs w:val="26"/>
        </w:rPr>
        <w:t xml:space="preserve"> </w:t>
      </w:r>
      <w:r w:rsidR="000911EB" w:rsidRPr="00257ACB">
        <w:rPr>
          <w:rFonts w:ascii="Times New Roman" w:hAnsi="Times New Roman" w:cs="Times New Roman"/>
          <w:sz w:val="26"/>
          <w:szCs w:val="26"/>
        </w:rPr>
        <w:t>Moreover</w:t>
      </w:r>
      <w:r w:rsidR="00736734" w:rsidRPr="00257ACB">
        <w:rPr>
          <w:rFonts w:ascii="Times New Roman" w:hAnsi="Times New Roman" w:cs="Times New Roman"/>
          <w:sz w:val="26"/>
          <w:szCs w:val="26"/>
        </w:rPr>
        <w:t xml:space="preserve">, </w:t>
      </w:r>
      <w:r w:rsidR="00A80DD8" w:rsidRPr="00257ACB">
        <w:rPr>
          <w:rFonts w:ascii="Times New Roman" w:hAnsi="Times New Roman" w:cs="Times New Roman"/>
          <w:sz w:val="26"/>
          <w:szCs w:val="26"/>
        </w:rPr>
        <w:t>Zero-Hours Contracts were discussed in the academic literature,</w:t>
      </w:r>
      <w:r w:rsidR="00D07C8E">
        <w:rPr>
          <w:rStyle w:val="ae"/>
          <w:rFonts w:ascii="Times New Roman" w:hAnsi="Times New Roman" w:cs="Times New Roman"/>
          <w:sz w:val="26"/>
          <w:szCs w:val="26"/>
        </w:rPr>
        <w:footnoteReference w:id="105"/>
      </w:r>
      <w:r w:rsidR="00A80DD8" w:rsidRPr="00257ACB">
        <w:rPr>
          <w:rFonts w:ascii="Times New Roman" w:hAnsi="Times New Roman" w:cs="Times New Roman"/>
          <w:sz w:val="26"/>
          <w:szCs w:val="26"/>
        </w:rPr>
        <w:t xml:space="preserve"> and even </w:t>
      </w:r>
      <w:r w:rsidR="00736734" w:rsidRPr="00257ACB">
        <w:rPr>
          <w:rFonts w:ascii="Times New Roman" w:hAnsi="Times New Roman" w:cs="Times New Roman"/>
          <w:sz w:val="26"/>
          <w:szCs w:val="26"/>
        </w:rPr>
        <w:t>explicitly mentioned</w:t>
      </w:r>
      <w:r w:rsidR="00A80DD8" w:rsidRPr="00257ACB">
        <w:rPr>
          <w:rFonts w:ascii="Times New Roman" w:hAnsi="Times New Roman" w:cs="Times New Roman"/>
          <w:sz w:val="26"/>
          <w:szCs w:val="26"/>
        </w:rPr>
        <w:t xml:space="preserve"> in New </w:t>
      </w:r>
      <w:proofErr w:type="spellStart"/>
      <w:r w:rsidR="00A80DD8" w:rsidRPr="00257ACB">
        <w:rPr>
          <w:rFonts w:ascii="Times New Roman" w:hAnsi="Times New Roman" w:cs="Times New Roman"/>
          <w:sz w:val="26"/>
          <w:szCs w:val="26"/>
        </w:rPr>
        <w:t>Labour’s</w:t>
      </w:r>
      <w:proofErr w:type="spellEnd"/>
      <w:r w:rsidR="00A80DD8" w:rsidRPr="00257ACB">
        <w:rPr>
          <w:rFonts w:ascii="Times New Roman" w:hAnsi="Times New Roman" w:cs="Times New Roman"/>
          <w:sz w:val="26"/>
          <w:szCs w:val="26"/>
        </w:rPr>
        <w:t xml:space="preserve"> 1998 White Paper on ‘Fairness at Work’</w:t>
      </w:r>
      <w:r w:rsidR="00153E01" w:rsidRPr="00257ACB">
        <w:rPr>
          <w:rFonts w:ascii="Times New Roman" w:hAnsi="Times New Roman" w:cs="Times New Roman"/>
          <w:sz w:val="26"/>
          <w:szCs w:val="26"/>
        </w:rPr>
        <w:t>,</w:t>
      </w:r>
      <w:r w:rsidR="00D07C8E">
        <w:rPr>
          <w:rStyle w:val="ae"/>
          <w:rFonts w:ascii="Times New Roman" w:hAnsi="Times New Roman" w:cs="Times New Roman"/>
          <w:sz w:val="26"/>
          <w:szCs w:val="26"/>
        </w:rPr>
        <w:footnoteReference w:id="106"/>
      </w:r>
      <w:r w:rsidR="00153E01" w:rsidRPr="00257ACB">
        <w:rPr>
          <w:rFonts w:ascii="Times New Roman" w:hAnsi="Times New Roman" w:cs="Times New Roman"/>
          <w:sz w:val="26"/>
          <w:szCs w:val="26"/>
        </w:rPr>
        <w:t xml:space="preserve"> which was </w:t>
      </w:r>
      <w:r w:rsidR="00A80DD8" w:rsidRPr="00257ACB">
        <w:rPr>
          <w:rFonts w:ascii="Times New Roman" w:hAnsi="Times New Roman" w:cs="Times New Roman"/>
          <w:sz w:val="26"/>
          <w:szCs w:val="26"/>
        </w:rPr>
        <w:lastRenderedPageBreak/>
        <w:t>perhaps in response to one of the earliest examples of public controversy, when Burger King’s practice to pay staff only for time spent actually serving customers was exposed in the mid-1990s.</w:t>
      </w:r>
      <w:r w:rsidR="00D07C8E">
        <w:rPr>
          <w:rStyle w:val="ae"/>
          <w:rFonts w:ascii="Times New Roman" w:hAnsi="Times New Roman" w:cs="Times New Roman"/>
          <w:sz w:val="26"/>
          <w:szCs w:val="26"/>
        </w:rPr>
        <w:footnoteReference w:id="107"/>
      </w:r>
      <w:r w:rsidR="004F2D6E" w:rsidRPr="00257ACB">
        <w:rPr>
          <w:rFonts w:ascii="Times New Roman" w:hAnsi="Times New Roman" w:cs="Times New Roman"/>
          <w:sz w:val="26"/>
          <w:szCs w:val="26"/>
        </w:rPr>
        <w:t xml:space="preserve"> </w:t>
      </w:r>
      <w:r w:rsidR="0091529D" w:rsidRPr="00257ACB">
        <w:rPr>
          <w:rFonts w:ascii="Times New Roman" w:hAnsi="Times New Roman" w:cs="Times New Roman"/>
          <w:sz w:val="26"/>
          <w:szCs w:val="26"/>
        </w:rPr>
        <w:t>Also t</w:t>
      </w:r>
      <w:r w:rsidR="004F2D6E" w:rsidRPr="00257ACB">
        <w:rPr>
          <w:rFonts w:ascii="Times New Roman" w:hAnsi="Times New Roman" w:cs="Times New Roman"/>
          <w:sz w:val="26"/>
          <w:szCs w:val="26"/>
        </w:rPr>
        <w:t xml:space="preserve">hen </w:t>
      </w:r>
      <w:r w:rsidR="0057289F" w:rsidRPr="00257ACB">
        <w:rPr>
          <w:rFonts w:ascii="Times New Roman" w:hAnsi="Times New Roman" w:cs="Times New Roman"/>
          <w:sz w:val="26"/>
          <w:szCs w:val="26"/>
        </w:rPr>
        <w:t xml:space="preserve">the </w:t>
      </w:r>
      <w:r w:rsidR="004F2D6E" w:rsidRPr="00257ACB">
        <w:rPr>
          <w:rFonts w:ascii="Times New Roman" w:hAnsi="Times New Roman" w:cs="Times New Roman"/>
          <w:sz w:val="26"/>
          <w:szCs w:val="26"/>
        </w:rPr>
        <w:t xml:space="preserve">government welcomed ‘views on whether further action should be taken to address the potential abuse of zero hours contracts and, if so, how to take this forward without undermining </w:t>
      </w:r>
      <w:proofErr w:type="spellStart"/>
      <w:r w:rsidR="004F2D6E" w:rsidRPr="00257ACB">
        <w:rPr>
          <w:rFonts w:ascii="Times New Roman" w:hAnsi="Times New Roman" w:cs="Times New Roman"/>
          <w:sz w:val="26"/>
          <w:szCs w:val="26"/>
        </w:rPr>
        <w:t>labour</w:t>
      </w:r>
      <w:proofErr w:type="spellEnd"/>
      <w:r w:rsidR="004F2D6E" w:rsidRPr="00257ACB">
        <w:rPr>
          <w:rFonts w:ascii="Times New Roman" w:hAnsi="Times New Roman" w:cs="Times New Roman"/>
          <w:sz w:val="26"/>
          <w:szCs w:val="26"/>
        </w:rPr>
        <w:t xml:space="preserve"> market flexibility.</w:t>
      </w:r>
      <w:r w:rsidR="00D07C8E">
        <w:rPr>
          <w:rStyle w:val="ae"/>
          <w:rFonts w:ascii="Times New Roman" w:hAnsi="Times New Roman" w:cs="Times New Roman"/>
          <w:sz w:val="26"/>
          <w:szCs w:val="26"/>
        </w:rPr>
        <w:footnoteReference w:id="108"/>
      </w:r>
      <w:r w:rsidR="00F84F25" w:rsidRPr="00257ACB">
        <w:rPr>
          <w:rFonts w:ascii="Times New Roman" w:hAnsi="Times New Roman" w:cs="Times New Roman"/>
          <w:sz w:val="26"/>
          <w:szCs w:val="26"/>
        </w:rPr>
        <w:t xml:space="preserve"> </w:t>
      </w:r>
      <w:r w:rsidR="007034FD" w:rsidRPr="00257ACB">
        <w:rPr>
          <w:rFonts w:ascii="Times New Roman" w:hAnsi="Times New Roman" w:cs="Times New Roman"/>
          <w:sz w:val="26"/>
          <w:szCs w:val="26"/>
        </w:rPr>
        <w:t xml:space="preserve">Even though </w:t>
      </w:r>
      <w:r w:rsidR="00285E0D" w:rsidRPr="00257ACB">
        <w:rPr>
          <w:rFonts w:ascii="Times New Roman" w:hAnsi="Times New Roman" w:cs="Times New Roman"/>
          <w:sz w:val="26"/>
          <w:szCs w:val="26"/>
        </w:rPr>
        <w:t>the UK remains the most ‘notorious’</w:t>
      </w:r>
      <w:r w:rsidR="00D07C8E">
        <w:rPr>
          <w:rStyle w:val="ae"/>
          <w:rFonts w:ascii="Times New Roman" w:hAnsi="Times New Roman" w:cs="Times New Roman"/>
          <w:sz w:val="26"/>
          <w:szCs w:val="26"/>
        </w:rPr>
        <w:footnoteReference w:id="109"/>
      </w:r>
      <w:r w:rsidR="00285E0D" w:rsidRPr="00257ACB">
        <w:rPr>
          <w:rFonts w:ascii="Times New Roman" w:hAnsi="Times New Roman" w:cs="Times New Roman"/>
          <w:sz w:val="26"/>
          <w:szCs w:val="26"/>
        </w:rPr>
        <w:t xml:space="preserve"> user of such models, the use of such arrangements is not specific to the UK </w:t>
      </w:r>
      <w:r w:rsidR="000A26F1" w:rsidRPr="00257ACB">
        <w:rPr>
          <w:rFonts w:ascii="Times New Roman" w:hAnsi="Times New Roman" w:cs="Times New Roman"/>
          <w:sz w:val="26"/>
          <w:szCs w:val="26"/>
        </w:rPr>
        <w:t xml:space="preserve">but </w:t>
      </w:r>
      <w:r w:rsidR="00285E0D" w:rsidRPr="00257ACB">
        <w:rPr>
          <w:rFonts w:ascii="Times New Roman" w:hAnsi="Times New Roman" w:cs="Times New Roman"/>
          <w:sz w:val="26"/>
          <w:szCs w:val="26"/>
        </w:rPr>
        <w:t xml:space="preserve">to be observed from other </w:t>
      </w:r>
      <w:r w:rsidR="00F84F25" w:rsidRPr="00257ACB">
        <w:rPr>
          <w:rFonts w:ascii="Times New Roman" w:hAnsi="Times New Roman" w:cs="Times New Roman"/>
          <w:sz w:val="26"/>
          <w:szCs w:val="26"/>
        </w:rPr>
        <w:t>Member States</w:t>
      </w:r>
      <w:r w:rsidR="00D07C8E">
        <w:rPr>
          <w:rStyle w:val="ae"/>
          <w:rFonts w:ascii="Times New Roman" w:hAnsi="Times New Roman" w:cs="Times New Roman"/>
          <w:sz w:val="26"/>
          <w:szCs w:val="26"/>
        </w:rPr>
        <w:footnoteReference w:id="110"/>
      </w:r>
      <w:r w:rsidR="00F84F25" w:rsidRPr="00257ACB">
        <w:rPr>
          <w:rFonts w:ascii="Times New Roman" w:hAnsi="Times New Roman" w:cs="Times New Roman"/>
          <w:sz w:val="26"/>
          <w:szCs w:val="26"/>
        </w:rPr>
        <w:t xml:space="preserve"> and at the EU level</w:t>
      </w:r>
      <w:r w:rsidR="00285E0D" w:rsidRPr="00257ACB">
        <w:rPr>
          <w:rFonts w:ascii="Times New Roman" w:hAnsi="Times New Roman" w:cs="Times New Roman"/>
          <w:sz w:val="26"/>
          <w:szCs w:val="26"/>
        </w:rPr>
        <w:t>.</w:t>
      </w:r>
      <w:r w:rsidR="007627D0" w:rsidRPr="00257ACB">
        <w:rPr>
          <w:rFonts w:ascii="Times New Roman" w:hAnsi="Times New Roman" w:cs="Times New Roman"/>
          <w:sz w:val="26"/>
          <w:szCs w:val="26"/>
        </w:rPr>
        <w:t xml:space="preserve"> The Court of Justice’s terminology, for example, is one of ‘working according to need, [where the employee</w:t>
      </w:r>
      <w:r w:rsidR="00690A5B" w:rsidRPr="00257ACB">
        <w:rPr>
          <w:rFonts w:ascii="Times New Roman" w:hAnsi="Times New Roman" w:cs="Times New Roman"/>
          <w:sz w:val="26"/>
          <w:szCs w:val="26"/>
        </w:rPr>
        <w:t>] works under a contract which stipulates neither the weekly hours of work nor the manner in which working time is to be organized, but it leaves her the choice of whether to accept or refuse the work offered by ‘the employer]’.</w:t>
      </w:r>
      <w:r w:rsidR="00D07C8E">
        <w:rPr>
          <w:rStyle w:val="ae"/>
          <w:rFonts w:ascii="Times New Roman" w:hAnsi="Times New Roman" w:cs="Times New Roman"/>
          <w:sz w:val="26"/>
          <w:szCs w:val="26"/>
        </w:rPr>
        <w:footnoteReference w:id="111"/>
      </w:r>
      <w:r w:rsidR="00E56E65" w:rsidRPr="00257ACB">
        <w:rPr>
          <w:rFonts w:ascii="Times New Roman" w:hAnsi="Times New Roman" w:cs="Times New Roman"/>
          <w:sz w:val="26"/>
          <w:szCs w:val="26"/>
        </w:rPr>
        <w:t xml:space="preserve"> </w:t>
      </w:r>
      <w:r w:rsidR="00185848" w:rsidRPr="00257ACB">
        <w:rPr>
          <w:rFonts w:ascii="Times New Roman" w:hAnsi="Times New Roman" w:cs="Times New Roman"/>
          <w:sz w:val="26"/>
          <w:szCs w:val="26"/>
        </w:rPr>
        <w:t xml:space="preserve">Furthermore, it needs to be noted that </w:t>
      </w:r>
      <w:r w:rsidR="00F318FB" w:rsidRPr="00257ACB">
        <w:rPr>
          <w:rFonts w:ascii="Times New Roman" w:hAnsi="Times New Roman" w:cs="Times New Roman"/>
          <w:sz w:val="26"/>
          <w:szCs w:val="26"/>
        </w:rPr>
        <w:t>the Zero-Hours Contract label cannot be seen as representing a clear or overarching category or organizing principle of precarious work, or as somehow cleanly mapping onto received understandings of ‘atypical work’. There is a considerable degree of ‘heterogeneity of temporary work’</w:t>
      </w:r>
      <w:r w:rsidR="00D07C8E">
        <w:rPr>
          <w:rStyle w:val="ae"/>
          <w:rFonts w:ascii="Times New Roman" w:hAnsi="Times New Roman" w:cs="Times New Roman"/>
          <w:sz w:val="26"/>
          <w:szCs w:val="26"/>
        </w:rPr>
        <w:footnoteReference w:id="112"/>
      </w:r>
      <w:r w:rsidR="00F318FB" w:rsidRPr="00257ACB">
        <w:rPr>
          <w:rFonts w:ascii="Times New Roman" w:hAnsi="Times New Roman" w:cs="Times New Roman"/>
          <w:sz w:val="26"/>
          <w:szCs w:val="26"/>
        </w:rPr>
        <w:t>,</w:t>
      </w:r>
      <w:r w:rsidR="00185848" w:rsidRPr="00257ACB">
        <w:rPr>
          <w:rFonts w:ascii="Times New Roman" w:hAnsi="Times New Roman" w:cs="Times New Roman"/>
          <w:sz w:val="26"/>
          <w:szCs w:val="26"/>
        </w:rPr>
        <w:t xml:space="preserve"> illustrated in ‘a</w:t>
      </w:r>
      <w:r w:rsidR="00B373BE" w:rsidRPr="00257ACB">
        <w:rPr>
          <w:rFonts w:ascii="Times New Roman" w:hAnsi="Times New Roman" w:cs="Times New Roman"/>
          <w:sz w:val="26"/>
          <w:szCs w:val="26"/>
        </w:rPr>
        <w:t>n</w:t>
      </w:r>
      <w:r w:rsidR="00185848" w:rsidRPr="00257ACB">
        <w:rPr>
          <w:rFonts w:ascii="Times New Roman" w:hAnsi="Times New Roman" w:cs="Times New Roman"/>
          <w:sz w:val="26"/>
          <w:szCs w:val="26"/>
        </w:rPr>
        <w:t xml:space="preserve"> increasing number of terminologies for the ‘heterogeneity of temporary work’, apart from commonly used categories such as temporary</w:t>
      </w:r>
      <w:r w:rsidR="00B373BE" w:rsidRPr="00257ACB">
        <w:rPr>
          <w:rFonts w:ascii="Times New Roman" w:hAnsi="Times New Roman" w:cs="Times New Roman"/>
          <w:sz w:val="26"/>
          <w:szCs w:val="26"/>
        </w:rPr>
        <w:t xml:space="preserve"> work</w:t>
      </w:r>
      <w:r w:rsidR="00185848" w:rsidRPr="00257ACB">
        <w:rPr>
          <w:rFonts w:ascii="Times New Roman" w:hAnsi="Times New Roman" w:cs="Times New Roman"/>
          <w:sz w:val="26"/>
          <w:szCs w:val="26"/>
        </w:rPr>
        <w:t xml:space="preserve">, part-time and self-employed work. </w:t>
      </w:r>
      <w:r w:rsidR="00B373BE" w:rsidRPr="00257ACB">
        <w:rPr>
          <w:rFonts w:ascii="Times New Roman" w:hAnsi="Times New Roman" w:cs="Times New Roman"/>
          <w:sz w:val="26"/>
          <w:szCs w:val="26"/>
        </w:rPr>
        <w:t xml:space="preserve">Terms </w:t>
      </w:r>
      <w:r w:rsidR="00900C7F" w:rsidRPr="00257ACB">
        <w:rPr>
          <w:rFonts w:ascii="Times New Roman" w:hAnsi="Times New Roman" w:cs="Times New Roman"/>
          <w:sz w:val="26"/>
          <w:szCs w:val="26"/>
        </w:rPr>
        <w:t xml:space="preserve">have been shown as </w:t>
      </w:r>
      <w:r w:rsidR="00B373BE" w:rsidRPr="00257ACB">
        <w:rPr>
          <w:rFonts w:ascii="Times New Roman" w:hAnsi="Times New Roman" w:cs="Times New Roman"/>
          <w:sz w:val="26"/>
          <w:szCs w:val="26"/>
        </w:rPr>
        <w:t xml:space="preserve">‘reservist’; ‘on-call’, and ‘as and when’ contracts; ‘regular casuals’; ‘key-time’ workers; </w:t>
      </w:r>
      <w:r w:rsidR="00B373BE" w:rsidRPr="00257ACB">
        <w:rPr>
          <w:rFonts w:ascii="Times New Roman" w:hAnsi="Times New Roman" w:cs="Times New Roman"/>
          <w:sz w:val="26"/>
          <w:szCs w:val="26"/>
        </w:rPr>
        <w:lastRenderedPageBreak/>
        <w:t>‘min-max’ and ‘zero-hours’ contracts’.</w:t>
      </w:r>
      <w:r w:rsidR="00D07C8E">
        <w:rPr>
          <w:rStyle w:val="ae"/>
          <w:rFonts w:ascii="Times New Roman" w:hAnsi="Times New Roman" w:cs="Times New Roman"/>
          <w:sz w:val="26"/>
          <w:szCs w:val="26"/>
        </w:rPr>
        <w:footnoteReference w:id="113"/>
      </w:r>
      <w:r w:rsidR="00900C7F" w:rsidRPr="00257ACB">
        <w:rPr>
          <w:rFonts w:ascii="Times New Roman" w:hAnsi="Times New Roman" w:cs="Times New Roman"/>
          <w:sz w:val="26"/>
          <w:szCs w:val="26"/>
        </w:rPr>
        <w:t xml:space="preserve"> </w:t>
      </w:r>
    </w:p>
    <w:p w14:paraId="59D5FB24" w14:textId="74037E39" w:rsidR="00AF29E7" w:rsidRPr="00257ACB" w:rsidRDefault="00C91209" w:rsidP="00185848">
      <w:pPr>
        <w:pStyle w:val="a3"/>
        <w:rPr>
          <w:rFonts w:ascii="Times New Roman" w:hAnsi="Times New Roman" w:cs="Times New Roman"/>
          <w:sz w:val="26"/>
          <w:szCs w:val="26"/>
        </w:rPr>
      </w:pPr>
      <w:r w:rsidRPr="00257ACB">
        <w:rPr>
          <w:rFonts w:ascii="Times New Roman" w:hAnsi="Times New Roman" w:cs="Times New Roman"/>
          <w:sz w:val="26"/>
          <w:szCs w:val="26"/>
        </w:rPr>
        <w:t xml:space="preserve">It can be said that </w:t>
      </w:r>
      <w:r w:rsidR="007165BB" w:rsidRPr="00257ACB">
        <w:rPr>
          <w:rFonts w:ascii="Times New Roman" w:hAnsi="Times New Roman" w:cs="Times New Roman"/>
          <w:sz w:val="26"/>
          <w:szCs w:val="26"/>
        </w:rPr>
        <w:t>t</w:t>
      </w:r>
      <w:r w:rsidR="0045586C" w:rsidRPr="00257ACB">
        <w:rPr>
          <w:rFonts w:ascii="Times New Roman" w:hAnsi="Times New Roman" w:cs="Times New Roman"/>
          <w:sz w:val="26"/>
          <w:szCs w:val="26"/>
        </w:rPr>
        <w:t>he various</w:t>
      </w:r>
      <w:r w:rsidR="00900C7F" w:rsidRPr="00257ACB">
        <w:rPr>
          <w:rFonts w:ascii="Times New Roman" w:hAnsi="Times New Roman" w:cs="Times New Roman"/>
          <w:sz w:val="26"/>
          <w:szCs w:val="26"/>
        </w:rPr>
        <w:t xml:space="preserve"> categories of ‘atypical’ work can frequently overlap, for example where agency work incorporates a ‘zero-hours contract dimension’.</w:t>
      </w:r>
      <w:r w:rsidR="00D07C8E">
        <w:rPr>
          <w:rStyle w:val="ae"/>
          <w:rFonts w:ascii="Times New Roman" w:hAnsi="Times New Roman" w:cs="Times New Roman"/>
          <w:sz w:val="26"/>
          <w:szCs w:val="26"/>
        </w:rPr>
        <w:footnoteReference w:id="114"/>
      </w:r>
      <w:r w:rsidR="0045586C" w:rsidRPr="00257ACB">
        <w:rPr>
          <w:rFonts w:ascii="Times New Roman" w:hAnsi="Times New Roman" w:cs="Times New Roman"/>
          <w:sz w:val="26"/>
          <w:szCs w:val="26"/>
        </w:rPr>
        <w:t xml:space="preserve"> As </w:t>
      </w:r>
      <w:proofErr w:type="spellStart"/>
      <w:r w:rsidR="0045586C" w:rsidRPr="00257ACB">
        <w:rPr>
          <w:rFonts w:ascii="Times New Roman" w:hAnsi="Times New Roman" w:cs="Times New Roman"/>
          <w:sz w:val="26"/>
          <w:szCs w:val="26"/>
        </w:rPr>
        <w:t>Kilner</w:t>
      </w:r>
      <w:proofErr w:type="spellEnd"/>
      <w:r w:rsidR="0045586C" w:rsidRPr="00257ACB">
        <w:rPr>
          <w:rFonts w:ascii="Times New Roman" w:hAnsi="Times New Roman" w:cs="Times New Roman"/>
          <w:sz w:val="26"/>
          <w:szCs w:val="26"/>
        </w:rPr>
        <w:t xml:space="preserve"> Brown J in </w:t>
      </w:r>
      <w:proofErr w:type="spellStart"/>
      <w:r w:rsidR="0045586C" w:rsidRPr="00257ACB">
        <w:rPr>
          <w:rFonts w:ascii="Times New Roman" w:hAnsi="Times New Roman" w:cs="Times New Roman"/>
          <w:sz w:val="26"/>
          <w:szCs w:val="26"/>
        </w:rPr>
        <w:t>Mailway</w:t>
      </w:r>
      <w:proofErr w:type="spellEnd"/>
      <w:r w:rsidR="0045586C" w:rsidRPr="00257ACB">
        <w:rPr>
          <w:rFonts w:ascii="Times New Roman" w:hAnsi="Times New Roman" w:cs="Times New Roman"/>
          <w:sz w:val="26"/>
          <w:szCs w:val="26"/>
        </w:rPr>
        <w:t xml:space="preserve"> suggested, the claimant’s Zero-hours arrangement there ‘in one sense […] was casual </w:t>
      </w:r>
      <w:proofErr w:type="spellStart"/>
      <w:r w:rsidR="0045586C" w:rsidRPr="00257ACB">
        <w:rPr>
          <w:rFonts w:ascii="Times New Roman" w:hAnsi="Times New Roman" w:cs="Times New Roman"/>
          <w:sz w:val="26"/>
          <w:szCs w:val="26"/>
        </w:rPr>
        <w:t>labour</w:t>
      </w:r>
      <w:proofErr w:type="spellEnd"/>
      <w:r w:rsidR="0045586C" w:rsidRPr="00257ACB">
        <w:rPr>
          <w:rFonts w:ascii="Times New Roman" w:hAnsi="Times New Roman" w:cs="Times New Roman"/>
          <w:sz w:val="26"/>
          <w:szCs w:val="26"/>
        </w:rPr>
        <w:t>; in another sense it was part-time work.’</w:t>
      </w:r>
      <w:r w:rsidR="00D07C8E">
        <w:rPr>
          <w:rStyle w:val="ae"/>
          <w:rFonts w:ascii="Times New Roman" w:hAnsi="Times New Roman" w:cs="Times New Roman"/>
          <w:sz w:val="26"/>
          <w:szCs w:val="26"/>
        </w:rPr>
        <w:footnoteReference w:id="115"/>
      </w:r>
      <w:r w:rsidR="0045586C" w:rsidRPr="00257ACB">
        <w:rPr>
          <w:rFonts w:ascii="Times New Roman" w:hAnsi="Times New Roman" w:cs="Times New Roman"/>
          <w:sz w:val="26"/>
          <w:szCs w:val="26"/>
        </w:rPr>
        <w:t>Th</w:t>
      </w:r>
      <w:r w:rsidR="00586414" w:rsidRPr="00257ACB">
        <w:rPr>
          <w:rFonts w:ascii="Times New Roman" w:hAnsi="Times New Roman" w:cs="Times New Roman"/>
          <w:sz w:val="26"/>
          <w:szCs w:val="26"/>
        </w:rPr>
        <w:t>us</w:t>
      </w:r>
      <w:r w:rsidR="0045586C" w:rsidRPr="00257ACB">
        <w:rPr>
          <w:rFonts w:ascii="Times New Roman" w:hAnsi="Times New Roman" w:cs="Times New Roman"/>
          <w:sz w:val="26"/>
          <w:szCs w:val="26"/>
        </w:rPr>
        <w:t xml:space="preserve">, zero-hours arrangements </w:t>
      </w:r>
      <w:r w:rsidR="00586414" w:rsidRPr="00257ACB">
        <w:rPr>
          <w:rFonts w:ascii="Times New Roman" w:hAnsi="Times New Roman" w:cs="Times New Roman"/>
          <w:sz w:val="26"/>
          <w:szCs w:val="26"/>
        </w:rPr>
        <w:t xml:space="preserve">can be said to </w:t>
      </w:r>
      <w:r w:rsidR="0045586C" w:rsidRPr="00257ACB">
        <w:rPr>
          <w:rFonts w:ascii="Times New Roman" w:hAnsi="Times New Roman" w:cs="Times New Roman"/>
          <w:sz w:val="26"/>
          <w:szCs w:val="26"/>
        </w:rPr>
        <w:t xml:space="preserve">represent various degree of fragmentation of work – from reasonably regular and consistent employment to a spot-market in </w:t>
      </w:r>
      <w:proofErr w:type="spellStart"/>
      <w:r w:rsidR="0045586C" w:rsidRPr="00257ACB">
        <w:rPr>
          <w:rFonts w:ascii="Times New Roman" w:hAnsi="Times New Roman" w:cs="Times New Roman"/>
          <w:sz w:val="26"/>
          <w:szCs w:val="26"/>
        </w:rPr>
        <w:t>labour</w:t>
      </w:r>
      <w:proofErr w:type="spellEnd"/>
      <w:r w:rsidR="0045586C" w:rsidRPr="00257ACB">
        <w:rPr>
          <w:rFonts w:ascii="Times New Roman" w:hAnsi="Times New Roman" w:cs="Times New Roman"/>
          <w:sz w:val="26"/>
          <w:szCs w:val="26"/>
        </w:rPr>
        <w:t>.</w:t>
      </w:r>
      <w:r w:rsidR="00D07C8E">
        <w:rPr>
          <w:rStyle w:val="ae"/>
          <w:rFonts w:ascii="Times New Roman" w:hAnsi="Times New Roman" w:cs="Times New Roman"/>
          <w:sz w:val="26"/>
          <w:szCs w:val="26"/>
        </w:rPr>
        <w:footnoteReference w:id="116"/>
      </w:r>
      <w:r w:rsidR="00FE7555" w:rsidRPr="00257ACB">
        <w:rPr>
          <w:rFonts w:ascii="Times New Roman" w:hAnsi="Times New Roman" w:cs="Times New Roman"/>
          <w:sz w:val="26"/>
          <w:szCs w:val="26"/>
        </w:rPr>
        <w:t xml:space="preserve"> </w:t>
      </w:r>
      <w:r w:rsidR="00AF261A" w:rsidRPr="00257ACB">
        <w:rPr>
          <w:rFonts w:ascii="Times New Roman" w:hAnsi="Times New Roman" w:cs="Times New Roman"/>
          <w:sz w:val="26"/>
          <w:szCs w:val="26"/>
        </w:rPr>
        <w:t xml:space="preserve">That is, </w:t>
      </w:r>
      <w:r w:rsidR="00CD7D8A" w:rsidRPr="00257ACB">
        <w:rPr>
          <w:rFonts w:ascii="Times New Roman" w:hAnsi="Times New Roman" w:cs="Times New Roman"/>
          <w:sz w:val="26"/>
          <w:szCs w:val="26"/>
        </w:rPr>
        <w:t>zero-hours arrangements could be said to represent wide range of possible employment, ranging from ‘well-paid secure, preferred choices’</w:t>
      </w:r>
      <w:r w:rsidR="00D07C8E">
        <w:rPr>
          <w:rStyle w:val="ae"/>
          <w:rFonts w:ascii="Times New Roman" w:hAnsi="Times New Roman" w:cs="Times New Roman"/>
          <w:sz w:val="26"/>
          <w:szCs w:val="26"/>
        </w:rPr>
        <w:footnoteReference w:id="117"/>
      </w:r>
      <w:r w:rsidR="00CD7D8A" w:rsidRPr="00257ACB">
        <w:rPr>
          <w:rFonts w:ascii="Times New Roman" w:hAnsi="Times New Roman" w:cs="Times New Roman"/>
          <w:sz w:val="26"/>
          <w:szCs w:val="26"/>
        </w:rPr>
        <w:t xml:space="preserve"> to ‘vulnerable’</w:t>
      </w:r>
      <w:r w:rsidR="00D07C8E">
        <w:rPr>
          <w:rStyle w:val="ae"/>
          <w:rFonts w:ascii="Times New Roman" w:hAnsi="Times New Roman" w:cs="Times New Roman"/>
          <w:sz w:val="26"/>
          <w:szCs w:val="26"/>
        </w:rPr>
        <w:footnoteReference w:id="118"/>
      </w:r>
      <w:r w:rsidR="00CD7D8A" w:rsidRPr="00257ACB">
        <w:rPr>
          <w:rFonts w:ascii="Times New Roman" w:hAnsi="Times New Roman" w:cs="Times New Roman"/>
          <w:sz w:val="26"/>
          <w:szCs w:val="26"/>
        </w:rPr>
        <w:t xml:space="preserve"> or ‘poor work’</w:t>
      </w:r>
      <w:r w:rsidR="00D07C8E">
        <w:rPr>
          <w:rStyle w:val="ae"/>
          <w:rFonts w:ascii="Times New Roman" w:hAnsi="Times New Roman" w:cs="Times New Roman"/>
          <w:sz w:val="26"/>
          <w:szCs w:val="26"/>
        </w:rPr>
        <w:footnoteReference w:id="119"/>
      </w:r>
      <w:r w:rsidR="00CD7D8A" w:rsidRPr="00257ACB">
        <w:rPr>
          <w:rFonts w:ascii="Times New Roman" w:hAnsi="Times New Roman" w:cs="Times New Roman"/>
          <w:sz w:val="26"/>
          <w:szCs w:val="26"/>
        </w:rPr>
        <w:t>, rather than forming a single or unitary category</w:t>
      </w:r>
      <w:r w:rsidR="00FE7555" w:rsidRPr="00257ACB">
        <w:rPr>
          <w:rFonts w:ascii="Times New Roman" w:hAnsi="Times New Roman" w:cs="Times New Roman"/>
          <w:sz w:val="26"/>
          <w:szCs w:val="26"/>
        </w:rPr>
        <w:t>.</w:t>
      </w:r>
      <w:r w:rsidR="005609C6" w:rsidRPr="00257ACB">
        <w:rPr>
          <w:rFonts w:ascii="Times New Roman" w:hAnsi="Times New Roman" w:cs="Times New Roman"/>
          <w:sz w:val="26"/>
          <w:szCs w:val="26"/>
        </w:rPr>
        <w:t xml:space="preserve"> </w:t>
      </w:r>
    </w:p>
    <w:p w14:paraId="5B1683FB" w14:textId="35E81CD1" w:rsidR="00F12479" w:rsidRPr="00257ACB" w:rsidRDefault="005609C6" w:rsidP="00AB1E2A">
      <w:pPr>
        <w:pStyle w:val="a3"/>
        <w:rPr>
          <w:rFonts w:ascii="Times New Roman" w:hAnsi="Times New Roman" w:cs="Times New Roman"/>
          <w:sz w:val="26"/>
          <w:szCs w:val="26"/>
        </w:rPr>
      </w:pPr>
      <w:r w:rsidRPr="00257ACB">
        <w:rPr>
          <w:rFonts w:ascii="Times New Roman" w:hAnsi="Times New Roman" w:cs="Times New Roman"/>
          <w:sz w:val="26"/>
          <w:szCs w:val="26"/>
        </w:rPr>
        <w:t>As mentioned above, there has been a frequent assumption that clear-cut definitions could be found for zero hours contracts. One example of an attempted definition of Zero-Hours Contracts can be found in a Private Member’s Bill introduced by Andy Sawford MP in the summer of 2013, with a view to making it ‘unlawful to issue a zero hours contract.’</w:t>
      </w:r>
      <w:r w:rsidR="00D07C8E">
        <w:rPr>
          <w:rStyle w:val="ae"/>
          <w:rFonts w:ascii="Times New Roman" w:hAnsi="Times New Roman" w:cs="Times New Roman"/>
          <w:sz w:val="26"/>
          <w:szCs w:val="26"/>
        </w:rPr>
        <w:footnoteReference w:id="120"/>
      </w:r>
      <w:r w:rsidR="00F12479" w:rsidRPr="00257ACB">
        <w:rPr>
          <w:rFonts w:ascii="Times New Roman" w:hAnsi="Times New Roman" w:cs="Times New Roman"/>
          <w:sz w:val="26"/>
          <w:szCs w:val="26"/>
        </w:rPr>
        <w:t xml:space="preserve"> That Bill </w:t>
      </w:r>
      <w:r w:rsidR="008E0DD1" w:rsidRPr="00257ACB">
        <w:rPr>
          <w:rFonts w:ascii="Times New Roman" w:hAnsi="Times New Roman" w:cs="Times New Roman"/>
          <w:sz w:val="26"/>
          <w:szCs w:val="26"/>
        </w:rPr>
        <w:t>seeks</w:t>
      </w:r>
      <w:r w:rsidR="00F12479" w:rsidRPr="00257ACB">
        <w:rPr>
          <w:rFonts w:ascii="Times New Roman" w:hAnsi="Times New Roman" w:cs="Times New Roman"/>
          <w:sz w:val="26"/>
          <w:szCs w:val="26"/>
        </w:rPr>
        <w:t xml:space="preserve"> to define such arrangements in its clause 3(1), </w:t>
      </w:r>
      <w:r w:rsidR="00F12479" w:rsidRPr="00257ACB">
        <w:rPr>
          <w:rFonts w:ascii="Times New Roman" w:hAnsi="Times New Roman" w:cs="Times New Roman"/>
          <w:sz w:val="26"/>
          <w:szCs w:val="26"/>
        </w:rPr>
        <w:lastRenderedPageBreak/>
        <w:t>identifying them through a combination of factors as follows:</w:t>
      </w:r>
    </w:p>
    <w:p w14:paraId="0F9465CD" w14:textId="19C3C9B9" w:rsidR="00F12479" w:rsidRPr="00257ACB" w:rsidRDefault="00F12479" w:rsidP="00B46729">
      <w:pPr>
        <w:pStyle w:val="a3"/>
        <w:ind w:leftChars="500" w:left="1000"/>
        <w:rPr>
          <w:rFonts w:ascii="Times New Roman" w:hAnsi="Times New Roman" w:cs="Times New Roman"/>
          <w:sz w:val="26"/>
          <w:szCs w:val="26"/>
        </w:rPr>
      </w:pPr>
      <w:r w:rsidRPr="00257ACB">
        <w:rPr>
          <w:rFonts w:ascii="Times New Roman" w:hAnsi="Times New Roman" w:cs="Times New Roman"/>
          <w:sz w:val="26"/>
          <w:szCs w:val="26"/>
        </w:rPr>
        <w:t xml:space="preserve">A zero hours contract is a contract or arrangement for the provision of </w:t>
      </w:r>
      <w:proofErr w:type="spellStart"/>
      <w:r w:rsidRPr="00257ACB">
        <w:rPr>
          <w:rFonts w:ascii="Times New Roman" w:hAnsi="Times New Roman" w:cs="Times New Roman"/>
          <w:sz w:val="26"/>
          <w:szCs w:val="26"/>
        </w:rPr>
        <w:t>labour</w:t>
      </w:r>
      <w:proofErr w:type="spellEnd"/>
      <w:r w:rsidRPr="00257ACB">
        <w:rPr>
          <w:rFonts w:ascii="Times New Roman" w:hAnsi="Times New Roman" w:cs="Times New Roman"/>
          <w:sz w:val="26"/>
          <w:szCs w:val="26"/>
        </w:rPr>
        <w:t xml:space="preserve"> which falls to specify guaranteed working hours and has one or more of the following features-</w:t>
      </w:r>
    </w:p>
    <w:p w14:paraId="137FAA56" w14:textId="095C7704" w:rsidR="00F12479" w:rsidRPr="00257ACB" w:rsidRDefault="00F12479" w:rsidP="00B46729">
      <w:pPr>
        <w:pStyle w:val="a3"/>
        <w:numPr>
          <w:ilvl w:val="0"/>
          <w:numId w:val="11"/>
        </w:numPr>
        <w:ind w:leftChars="500" w:left="1360"/>
        <w:rPr>
          <w:rFonts w:ascii="Times New Roman" w:hAnsi="Times New Roman" w:cs="Times New Roman"/>
          <w:sz w:val="26"/>
          <w:szCs w:val="26"/>
        </w:rPr>
      </w:pPr>
      <w:r w:rsidRPr="00257ACB">
        <w:rPr>
          <w:rFonts w:ascii="Times New Roman" w:hAnsi="Times New Roman" w:cs="Times New Roman"/>
          <w:sz w:val="26"/>
          <w:szCs w:val="26"/>
        </w:rPr>
        <w:t xml:space="preserve">It requires the worker to be available for work when there is no </w:t>
      </w:r>
      <w:proofErr w:type="spellStart"/>
      <w:r w:rsidRPr="00257ACB">
        <w:rPr>
          <w:rFonts w:ascii="Times New Roman" w:hAnsi="Times New Roman" w:cs="Times New Roman"/>
          <w:sz w:val="26"/>
          <w:szCs w:val="26"/>
        </w:rPr>
        <w:t>gurantee</w:t>
      </w:r>
      <w:proofErr w:type="spellEnd"/>
      <w:r w:rsidRPr="00257ACB">
        <w:rPr>
          <w:rFonts w:ascii="Times New Roman" w:hAnsi="Times New Roman" w:cs="Times New Roman"/>
          <w:sz w:val="26"/>
          <w:szCs w:val="26"/>
        </w:rPr>
        <w:t xml:space="preserve"> the worker will be needed;</w:t>
      </w:r>
    </w:p>
    <w:p w14:paraId="3B4E94F8" w14:textId="1A890177" w:rsidR="00F12479" w:rsidRPr="00257ACB" w:rsidRDefault="00F12479" w:rsidP="00B46729">
      <w:pPr>
        <w:pStyle w:val="a3"/>
        <w:numPr>
          <w:ilvl w:val="0"/>
          <w:numId w:val="11"/>
        </w:numPr>
        <w:ind w:leftChars="500" w:left="1360"/>
        <w:rPr>
          <w:rFonts w:ascii="Times New Roman" w:hAnsi="Times New Roman" w:cs="Times New Roman"/>
          <w:sz w:val="26"/>
          <w:szCs w:val="26"/>
        </w:rPr>
      </w:pPr>
      <w:r w:rsidRPr="00257ACB">
        <w:rPr>
          <w:rFonts w:ascii="Times New Roman" w:hAnsi="Times New Roman" w:cs="Times New Roman"/>
          <w:sz w:val="26"/>
          <w:szCs w:val="26"/>
        </w:rPr>
        <w:t>It requires the worker to work exclusively for one employer;</w:t>
      </w:r>
    </w:p>
    <w:p w14:paraId="1509E03E" w14:textId="32571CC4" w:rsidR="00F12479" w:rsidRPr="00257ACB" w:rsidRDefault="00F12479" w:rsidP="00B46729">
      <w:pPr>
        <w:pStyle w:val="a3"/>
        <w:numPr>
          <w:ilvl w:val="0"/>
          <w:numId w:val="11"/>
        </w:numPr>
        <w:ind w:leftChars="500" w:left="1360"/>
        <w:rPr>
          <w:rFonts w:ascii="Times New Roman" w:hAnsi="Times New Roman" w:cs="Times New Roman"/>
          <w:sz w:val="26"/>
          <w:szCs w:val="26"/>
        </w:rPr>
      </w:pPr>
      <w:r w:rsidRPr="00257ACB">
        <w:rPr>
          <w:rFonts w:ascii="Times New Roman" w:hAnsi="Times New Roman" w:cs="Times New Roman"/>
          <w:sz w:val="26"/>
          <w:szCs w:val="26"/>
        </w:rPr>
        <w:t>A contract setting out the worker’s regular working hours has not been offered after the worker has been employed for 12 consecutive weeks.</w:t>
      </w:r>
      <w:r w:rsidR="0083368E">
        <w:rPr>
          <w:rStyle w:val="ae"/>
          <w:rFonts w:ascii="Times New Roman" w:hAnsi="Times New Roman" w:cs="Times New Roman"/>
          <w:sz w:val="26"/>
          <w:szCs w:val="26"/>
        </w:rPr>
        <w:footnoteReference w:id="121"/>
      </w:r>
    </w:p>
    <w:p w14:paraId="1E6EAA93" w14:textId="77777777" w:rsidR="00F12479" w:rsidRPr="00257ACB" w:rsidRDefault="00F12479" w:rsidP="00F12479">
      <w:pPr>
        <w:pStyle w:val="a3"/>
        <w:ind w:leftChars="0" w:left="1160"/>
        <w:rPr>
          <w:rFonts w:ascii="Times New Roman" w:hAnsi="Times New Roman" w:cs="Times New Roman"/>
          <w:sz w:val="26"/>
          <w:szCs w:val="26"/>
        </w:rPr>
      </w:pPr>
    </w:p>
    <w:p w14:paraId="145AB14C" w14:textId="6C623BCE" w:rsidR="009D7C66" w:rsidRPr="00257ACB" w:rsidRDefault="00F23CE7" w:rsidP="00A835B4">
      <w:pPr>
        <w:pStyle w:val="a3"/>
        <w:rPr>
          <w:rFonts w:ascii="Times New Roman" w:hAnsi="Times New Roman" w:cs="Times New Roman"/>
          <w:sz w:val="26"/>
          <w:szCs w:val="26"/>
        </w:rPr>
      </w:pPr>
      <w:r w:rsidRPr="00257ACB">
        <w:rPr>
          <w:rFonts w:ascii="Times New Roman" w:hAnsi="Times New Roman" w:cs="Times New Roman"/>
          <w:sz w:val="26"/>
          <w:szCs w:val="26"/>
        </w:rPr>
        <w:t>In addition, o</w:t>
      </w:r>
      <w:r w:rsidR="003D77D1" w:rsidRPr="00257ACB">
        <w:rPr>
          <w:rFonts w:ascii="Times New Roman" w:hAnsi="Times New Roman" w:cs="Times New Roman"/>
          <w:sz w:val="26"/>
          <w:szCs w:val="26"/>
        </w:rPr>
        <w:t xml:space="preserve">fficial consultation document on the use and regulation of Zero-Hours arrangements, published by the government in December 2013, noted that </w:t>
      </w:r>
      <w:r w:rsidR="00976BFA" w:rsidRPr="00257ACB">
        <w:rPr>
          <w:rFonts w:ascii="Times New Roman" w:hAnsi="Times New Roman" w:cs="Times New Roman"/>
          <w:sz w:val="26"/>
          <w:szCs w:val="26"/>
        </w:rPr>
        <w:t>‘[t]here is no legal definition of a zero hours contract in domestic law’</w:t>
      </w:r>
      <w:r w:rsidRPr="00257ACB">
        <w:rPr>
          <w:rFonts w:ascii="Times New Roman" w:hAnsi="Times New Roman" w:cs="Times New Roman"/>
          <w:sz w:val="26"/>
          <w:szCs w:val="26"/>
        </w:rPr>
        <w:t>.</w:t>
      </w:r>
      <w:r w:rsidR="0083368E">
        <w:rPr>
          <w:rStyle w:val="ae"/>
          <w:rFonts w:ascii="Times New Roman" w:hAnsi="Times New Roman" w:cs="Times New Roman"/>
          <w:sz w:val="26"/>
          <w:szCs w:val="26"/>
        </w:rPr>
        <w:footnoteReference w:id="122"/>
      </w:r>
      <w:r w:rsidRPr="00257ACB">
        <w:rPr>
          <w:rFonts w:ascii="Times New Roman" w:hAnsi="Times New Roman" w:cs="Times New Roman"/>
          <w:sz w:val="26"/>
          <w:szCs w:val="26"/>
        </w:rPr>
        <w:t xml:space="preserve"> But then it</w:t>
      </w:r>
      <w:r w:rsidR="00976BFA" w:rsidRPr="00257ACB">
        <w:rPr>
          <w:rFonts w:ascii="Times New Roman" w:hAnsi="Times New Roman" w:cs="Times New Roman"/>
          <w:sz w:val="26"/>
          <w:szCs w:val="26"/>
        </w:rPr>
        <w:t xml:space="preserve"> went on to </w:t>
      </w:r>
      <w:r w:rsidRPr="00257ACB">
        <w:rPr>
          <w:rFonts w:ascii="Times New Roman" w:hAnsi="Times New Roman" w:cs="Times New Roman"/>
          <w:sz w:val="26"/>
          <w:szCs w:val="26"/>
        </w:rPr>
        <w:t xml:space="preserve">generally </w:t>
      </w:r>
      <w:r w:rsidR="001D46F0" w:rsidRPr="00257ACB">
        <w:rPr>
          <w:rFonts w:ascii="Times New Roman" w:hAnsi="Times New Roman" w:cs="Times New Roman"/>
          <w:sz w:val="26"/>
          <w:szCs w:val="26"/>
        </w:rPr>
        <w:t xml:space="preserve">define </w:t>
      </w:r>
      <w:r w:rsidR="00976BFA" w:rsidRPr="00257ACB">
        <w:rPr>
          <w:rFonts w:ascii="Times New Roman" w:hAnsi="Times New Roman" w:cs="Times New Roman"/>
          <w:sz w:val="26"/>
          <w:szCs w:val="26"/>
        </w:rPr>
        <w:t xml:space="preserve">as ‘an employment contract in which the employer does not guarantee the individual any work, and the individual is not obliged to accept any work offered.’ </w:t>
      </w:r>
      <w:r w:rsidR="0083368E">
        <w:rPr>
          <w:rStyle w:val="ae"/>
          <w:rFonts w:ascii="Times New Roman" w:hAnsi="Times New Roman" w:cs="Times New Roman"/>
          <w:sz w:val="26"/>
          <w:szCs w:val="26"/>
        </w:rPr>
        <w:footnoteReference w:id="123"/>
      </w:r>
      <w:r w:rsidR="001D46F0" w:rsidRPr="00257ACB">
        <w:rPr>
          <w:rFonts w:ascii="Times New Roman" w:hAnsi="Times New Roman" w:cs="Times New Roman"/>
          <w:sz w:val="26"/>
          <w:szCs w:val="26"/>
        </w:rPr>
        <w:t xml:space="preserve">Then the specific </w:t>
      </w:r>
      <w:r w:rsidR="00687F68" w:rsidRPr="00257ACB">
        <w:rPr>
          <w:rFonts w:ascii="Times New Roman" w:hAnsi="Times New Roman" w:cs="Times New Roman"/>
          <w:sz w:val="26"/>
          <w:szCs w:val="26"/>
        </w:rPr>
        <w:t>illustration of a zero hours contract</w:t>
      </w:r>
      <w:r w:rsidR="001D46F0" w:rsidRPr="00257ACB">
        <w:rPr>
          <w:rFonts w:ascii="Times New Roman" w:hAnsi="Times New Roman" w:cs="Times New Roman"/>
          <w:sz w:val="26"/>
          <w:szCs w:val="26"/>
        </w:rPr>
        <w:t xml:space="preserve"> was provided</w:t>
      </w:r>
      <w:r w:rsidR="00687F68" w:rsidRPr="00257ACB">
        <w:rPr>
          <w:rFonts w:ascii="Times New Roman" w:hAnsi="Times New Roman" w:cs="Times New Roman"/>
          <w:sz w:val="26"/>
          <w:szCs w:val="26"/>
        </w:rPr>
        <w:t xml:space="preserve"> </w:t>
      </w:r>
      <w:r w:rsidR="00976BFA" w:rsidRPr="00257ACB">
        <w:rPr>
          <w:rFonts w:ascii="Times New Roman" w:hAnsi="Times New Roman" w:cs="Times New Roman"/>
          <w:sz w:val="26"/>
          <w:szCs w:val="26"/>
        </w:rPr>
        <w:t>by means of a specific ‘example of a clause in a zero hours contract which does not guarantee a fixed number of hours work per week’:</w:t>
      </w:r>
      <w:r w:rsidR="00CF100D" w:rsidRPr="00257ACB">
        <w:rPr>
          <w:rFonts w:ascii="Times New Roman" w:hAnsi="Times New Roman" w:cs="Times New Roman"/>
          <w:sz w:val="26"/>
          <w:szCs w:val="26"/>
        </w:rPr>
        <w:t xml:space="preserve"> “The Company is under no obligation to provide work to you at any time and you are under no obligation to accept any work offered by the Company at any time.”</w:t>
      </w:r>
      <w:r w:rsidR="0083368E">
        <w:rPr>
          <w:rStyle w:val="ae"/>
          <w:rFonts w:ascii="Times New Roman" w:hAnsi="Times New Roman" w:cs="Times New Roman"/>
          <w:sz w:val="26"/>
          <w:szCs w:val="26"/>
        </w:rPr>
        <w:footnoteReference w:id="124"/>
      </w:r>
      <w:r w:rsidR="007F4DC4" w:rsidRPr="00257ACB">
        <w:rPr>
          <w:rFonts w:ascii="Times New Roman" w:hAnsi="Times New Roman" w:cs="Times New Roman"/>
          <w:sz w:val="26"/>
          <w:szCs w:val="26"/>
        </w:rPr>
        <w:t xml:space="preserve"> </w:t>
      </w:r>
      <w:r w:rsidR="009D7C66" w:rsidRPr="00257ACB">
        <w:rPr>
          <w:rFonts w:ascii="Times New Roman" w:hAnsi="Times New Roman" w:cs="Times New Roman"/>
          <w:sz w:val="26"/>
          <w:szCs w:val="26"/>
        </w:rPr>
        <w:t>It also says that such contracts are legal under domestic law where they are freely entered into, a zero hours contract is a legitimate form of contract between individual and employer.</w:t>
      </w:r>
      <w:r w:rsidR="0083368E">
        <w:rPr>
          <w:rStyle w:val="ae"/>
          <w:rFonts w:ascii="Times New Roman" w:hAnsi="Times New Roman" w:cs="Times New Roman"/>
          <w:sz w:val="26"/>
          <w:szCs w:val="26"/>
        </w:rPr>
        <w:footnoteReference w:id="125"/>
      </w:r>
    </w:p>
    <w:p w14:paraId="6C935772" w14:textId="039FD82F" w:rsidR="0080410C" w:rsidRPr="00257ACB" w:rsidRDefault="00A02AB1" w:rsidP="00A835B4">
      <w:pPr>
        <w:pStyle w:val="a3"/>
        <w:rPr>
          <w:rFonts w:ascii="Times New Roman" w:hAnsi="Times New Roman" w:cs="Times New Roman"/>
          <w:sz w:val="26"/>
          <w:szCs w:val="26"/>
        </w:rPr>
      </w:pPr>
      <w:r w:rsidRPr="00257ACB">
        <w:rPr>
          <w:rFonts w:ascii="Times New Roman" w:hAnsi="Times New Roman" w:cs="Times New Roman"/>
          <w:sz w:val="26"/>
          <w:szCs w:val="26"/>
        </w:rPr>
        <w:t xml:space="preserve">As seen in these accounts, it can be problematic assumption that there would be any single unitary category of the Zero-Hours Contract. That is, </w:t>
      </w:r>
      <w:r w:rsidR="00F457B3" w:rsidRPr="00257ACB">
        <w:rPr>
          <w:rFonts w:ascii="Times New Roman" w:hAnsi="Times New Roman" w:cs="Times New Roman"/>
          <w:sz w:val="26"/>
          <w:szCs w:val="26"/>
        </w:rPr>
        <w:t xml:space="preserve">it can be said that </w:t>
      </w:r>
      <w:r w:rsidRPr="00257ACB">
        <w:rPr>
          <w:rFonts w:ascii="Times New Roman" w:hAnsi="Times New Roman" w:cs="Times New Roman"/>
          <w:sz w:val="26"/>
          <w:szCs w:val="26"/>
        </w:rPr>
        <w:t xml:space="preserve">the assumption </w:t>
      </w:r>
      <w:r w:rsidR="00F457B3" w:rsidRPr="00257ACB">
        <w:rPr>
          <w:rFonts w:ascii="Times New Roman" w:hAnsi="Times New Roman" w:cs="Times New Roman"/>
          <w:sz w:val="26"/>
          <w:szCs w:val="26"/>
        </w:rPr>
        <w:t xml:space="preserve">of </w:t>
      </w:r>
      <w:r w:rsidRPr="00257ACB">
        <w:rPr>
          <w:rFonts w:ascii="Times New Roman" w:hAnsi="Times New Roman" w:cs="Times New Roman"/>
          <w:sz w:val="26"/>
          <w:szCs w:val="26"/>
        </w:rPr>
        <w:t xml:space="preserve">the </w:t>
      </w:r>
      <w:r w:rsidR="007F4DC4" w:rsidRPr="00257ACB">
        <w:rPr>
          <w:rFonts w:ascii="Times New Roman" w:hAnsi="Times New Roman" w:cs="Times New Roman"/>
          <w:sz w:val="26"/>
          <w:szCs w:val="26"/>
        </w:rPr>
        <w:t xml:space="preserve">Zero-Hours Contract </w:t>
      </w:r>
      <w:r w:rsidR="00F457B3" w:rsidRPr="00257ACB">
        <w:rPr>
          <w:rFonts w:ascii="Times New Roman" w:hAnsi="Times New Roman" w:cs="Times New Roman"/>
          <w:sz w:val="26"/>
          <w:szCs w:val="26"/>
        </w:rPr>
        <w:t>as</w:t>
      </w:r>
      <w:r w:rsidR="007F4DC4" w:rsidRPr="00257ACB">
        <w:rPr>
          <w:rFonts w:ascii="Times New Roman" w:hAnsi="Times New Roman" w:cs="Times New Roman"/>
          <w:sz w:val="26"/>
          <w:szCs w:val="26"/>
        </w:rPr>
        <w:t xml:space="preserve"> a unitary category</w:t>
      </w:r>
      <w:r w:rsidRPr="00257ACB">
        <w:rPr>
          <w:rFonts w:ascii="Times New Roman" w:hAnsi="Times New Roman" w:cs="Times New Roman"/>
          <w:sz w:val="26"/>
          <w:szCs w:val="26"/>
        </w:rPr>
        <w:t xml:space="preserve"> can hardly be sustainable </w:t>
      </w:r>
      <w:r w:rsidR="007F4DC4" w:rsidRPr="00257ACB">
        <w:rPr>
          <w:rFonts w:ascii="Times New Roman" w:hAnsi="Times New Roman" w:cs="Times New Roman"/>
          <w:sz w:val="26"/>
          <w:szCs w:val="26"/>
        </w:rPr>
        <w:lastRenderedPageBreak/>
        <w:t>in the face of widespread factual complexity.</w:t>
      </w:r>
      <w:r w:rsidR="0083368E">
        <w:rPr>
          <w:rStyle w:val="ae"/>
          <w:rFonts w:ascii="Times New Roman" w:hAnsi="Times New Roman" w:cs="Times New Roman"/>
          <w:sz w:val="26"/>
          <w:szCs w:val="26"/>
        </w:rPr>
        <w:footnoteReference w:id="126"/>
      </w:r>
      <w:r w:rsidR="00F457B3" w:rsidRPr="00257ACB">
        <w:rPr>
          <w:rFonts w:ascii="Times New Roman" w:hAnsi="Times New Roman" w:cs="Times New Roman"/>
          <w:sz w:val="26"/>
          <w:szCs w:val="26"/>
        </w:rPr>
        <w:t xml:space="preserve">On the other hand, </w:t>
      </w:r>
      <w:r w:rsidR="00DD094A" w:rsidRPr="00257ACB">
        <w:rPr>
          <w:rFonts w:ascii="Times New Roman" w:hAnsi="Times New Roman" w:cs="Times New Roman"/>
          <w:sz w:val="26"/>
          <w:szCs w:val="26"/>
        </w:rPr>
        <w:t xml:space="preserve">some academic commentators such as Ewing and Aileen </w:t>
      </w:r>
      <w:proofErr w:type="spellStart"/>
      <w:r w:rsidR="00DD094A" w:rsidRPr="00257ACB">
        <w:rPr>
          <w:rFonts w:ascii="Times New Roman" w:hAnsi="Times New Roman" w:cs="Times New Roman"/>
          <w:sz w:val="26"/>
          <w:szCs w:val="26"/>
        </w:rPr>
        <w:t>McColgan</w:t>
      </w:r>
      <w:proofErr w:type="spellEnd"/>
      <w:r w:rsidR="00DD094A" w:rsidRPr="00257ACB">
        <w:rPr>
          <w:rFonts w:ascii="Times New Roman" w:hAnsi="Times New Roman" w:cs="Times New Roman"/>
          <w:sz w:val="26"/>
          <w:szCs w:val="26"/>
        </w:rPr>
        <w:t xml:space="preserve"> that draw a distinction between Z</w:t>
      </w:r>
      <w:r w:rsidR="00320492" w:rsidRPr="00257ACB">
        <w:rPr>
          <w:rFonts w:ascii="Times New Roman" w:hAnsi="Times New Roman" w:cs="Times New Roman"/>
          <w:sz w:val="26"/>
          <w:szCs w:val="26"/>
        </w:rPr>
        <w:t xml:space="preserve">ero-Hours Contracts, </w:t>
      </w:r>
      <w:r w:rsidR="009D6DA1" w:rsidRPr="00257ACB">
        <w:rPr>
          <w:rFonts w:ascii="Times New Roman" w:hAnsi="Times New Roman" w:cs="Times New Roman"/>
          <w:sz w:val="26"/>
          <w:szCs w:val="26"/>
        </w:rPr>
        <w:t xml:space="preserve">in which </w:t>
      </w:r>
      <w:r w:rsidR="00F457B3" w:rsidRPr="00257ACB">
        <w:rPr>
          <w:rFonts w:ascii="Times New Roman" w:hAnsi="Times New Roman" w:cs="Times New Roman"/>
          <w:sz w:val="26"/>
          <w:szCs w:val="26"/>
        </w:rPr>
        <w:t xml:space="preserve">‘the employee promises to be ready and available for work, but the employer merely promises to pay for time actually worked according to the requirements of the employer’ and ‘arrangements for casual work’ where ‘again the employer does not promise to offer any work, </w:t>
      </w:r>
      <w:r w:rsidR="00AD5E39" w:rsidRPr="00257ACB">
        <w:rPr>
          <w:rFonts w:ascii="Times New Roman" w:hAnsi="Times New Roman" w:cs="Times New Roman"/>
          <w:sz w:val="26"/>
          <w:szCs w:val="26"/>
        </w:rPr>
        <w:t>but equally in this case the employee does not promise to be available when required.’</w:t>
      </w:r>
      <w:r w:rsidR="0083368E">
        <w:rPr>
          <w:rStyle w:val="ae"/>
          <w:rFonts w:ascii="Times New Roman" w:hAnsi="Times New Roman" w:cs="Times New Roman"/>
          <w:sz w:val="26"/>
          <w:szCs w:val="26"/>
        </w:rPr>
        <w:footnoteReference w:id="127"/>
      </w:r>
      <w:r w:rsidR="00655CDA" w:rsidRPr="00257ACB">
        <w:rPr>
          <w:rFonts w:ascii="Times New Roman" w:hAnsi="Times New Roman" w:cs="Times New Roman"/>
          <w:sz w:val="26"/>
          <w:szCs w:val="26"/>
        </w:rPr>
        <w:t xml:space="preserve"> </w:t>
      </w:r>
      <w:r w:rsidR="002803C3" w:rsidRPr="00257ACB">
        <w:rPr>
          <w:rFonts w:ascii="Times New Roman" w:hAnsi="Times New Roman" w:cs="Times New Roman"/>
          <w:sz w:val="26"/>
          <w:szCs w:val="26"/>
        </w:rPr>
        <w:t>Simon Deakin and Gillian Morris suggest that Zero-Hours Contracts encompass all cases ‘where the employer unequivocally refuses to commit itself in advance to make any given quantum of work available.’</w:t>
      </w:r>
      <w:r w:rsidR="0083368E">
        <w:rPr>
          <w:rStyle w:val="ae"/>
          <w:rFonts w:ascii="Times New Roman" w:hAnsi="Times New Roman" w:cs="Times New Roman"/>
          <w:sz w:val="26"/>
          <w:szCs w:val="26"/>
        </w:rPr>
        <w:footnoteReference w:id="128"/>
      </w:r>
      <w:r w:rsidR="000A5407" w:rsidRPr="00257ACB">
        <w:rPr>
          <w:rFonts w:ascii="Times New Roman" w:hAnsi="Times New Roman" w:cs="Times New Roman"/>
          <w:sz w:val="26"/>
          <w:szCs w:val="26"/>
        </w:rPr>
        <w:t xml:space="preserve">Mark Freedland and Nicola </w:t>
      </w:r>
      <w:proofErr w:type="spellStart"/>
      <w:r w:rsidR="000A5407" w:rsidRPr="00257ACB">
        <w:rPr>
          <w:rFonts w:ascii="Times New Roman" w:hAnsi="Times New Roman" w:cs="Times New Roman"/>
          <w:sz w:val="26"/>
          <w:szCs w:val="26"/>
        </w:rPr>
        <w:t>Kountouris</w:t>
      </w:r>
      <w:proofErr w:type="spellEnd"/>
      <w:r w:rsidR="000A5407" w:rsidRPr="00257ACB">
        <w:rPr>
          <w:rFonts w:ascii="Times New Roman" w:hAnsi="Times New Roman" w:cs="Times New Roman"/>
          <w:sz w:val="26"/>
          <w:szCs w:val="26"/>
        </w:rPr>
        <w:t xml:space="preserve"> refer to ‘work arrangements in which the worker is </w:t>
      </w:r>
      <w:r w:rsidR="00A81830" w:rsidRPr="00257ACB">
        <w:rPr>
          <w:rFonts w:ascii="Times New Roman" w:hAnsi="Times New Roman" w:cs="Times New Roman"/>
          <w:sz w:val="26"/>
          <w:szCs w:val="26"/>
        </w:rPr>
        <w:t>i</w:t>
      </w:r>
      <w:r w:rsidR="000A5407" w:rsidRPr="00257ACB">
        <w:rPr>
          <w:rFonts w:ascii="Times New Roman" w:hAnsi="Times New Roman" w:cs="Times New Roman"/>
          <w:sz w:val="26"/>
          <w:szCs w:val="26"/>
        </w:rPr>
        <w:t>n a personal work relation with an employing entity […] for which there are no fixed or guaranteed hours of remunerated work</w:t>
      </w:r>
      <w:r w:rsidR="003D60C2" w:rsidRPr="00257ACB">
        <w:rPr>
          <w:rFonts w:ascii="Times New Roman" w:hAnsi="Times New Roman" w:cs="Times New Roman"/>
          <w:sz w:val="26"/>
          <w:szCs w:val="26"/>
        </w:rPr>
        <w:t>,</w:t>
      </w:r>
      <w:r w:rsidR="0077533B" w:rsidRPr="00257ACB">
        <w:rPr>
          <w:rFonts w:ascii="Times New Roman" w:hAnsi="Times New Roman" w:cs="Times New Roman"/>
          <w:sz w:val="26"/>
          <w:szCs w:val="26"/>
        </w:rPr>
        <w:t xml:space="preserve"> and t</w:t>
      </w:r>
      <w:r w:rsidR="000A5407" w:rsidRPr="00257ACB">
        <w:rPr>
          <w:rFonts w:ascii="Times New Roman" w:hAnsi="Times New Roman" w:cs="Times New Roman"/>
          <w:sz w:val="26"/>
          <w:szCs w:val="26"/>
        </w:rPr>
        <w:t>hese arrangements are variously described as ‘on-call’, ‘intermittent’, or ‘on-demand’ work, or sometimes referred to as ‘zero-hours contracts’.</w:t>
      </w:r>
      <w:r w:rsidR="0083368E">
        <w:rPr>
          <w:rStyle w:val="ae"/>
          <w:rFonts w:ascii="Times New Roman" w:hAnsi="Times New Roman" w:cs="Times New Roman"/>
          <w:sz w:val="26"/>
          <w:szCs w:val="26"/>
        </w:rPr>
        <w:footnoteReference w:id="129"/>
      </w:r>
    </w:p>
    <w:p w14:paraId="65A16731" w14:textId="6CEB5A6D" w:rsidR="000A5407" w:rsidRPr="00257ACB" w:rsidRDefault="0080410C" w:rsidP="00A835B4">
      <w:pPr>
        <w:pStyle w:val="a3"/>
        <w:rPr>
          <w:rFonts w:ascii="Times New Roman" w:hAnsi="Times New Roman" w:cs="Times New Roman"/>
          <w:sz w:val="26"/>
          <w:szCs w:val="26"/>
        </w:rPr>
      </w:pPr>
      <w:r w:rsidRPr="00257ACB">
        <w:rPr>
          <w:rFonts w:ascii="Times New Roman" w:hAnsi="Times New Roman" w:cs="Times New Roman"/>
          <w:sz w:val="26"/>
          <w:szCs w:val="26"/>
        </w:rPr>
        <w:t>Even a brief survey of fact patterns has suggested that there can be no clear divisions or watertight categories,</w:t>
      </w:r>
      <w:r w:rsidR="0083368E">
        <w:rPr>
          <w:rStyle w:val="ae"/>
          <w:rFonts w:ascii="Times New Roman" w:hAnsi="Times New Roman" w:cs="Times New Roman"/>
          <w:sz w:val="26"/>
          <w:szCs w:val="26"/>
        </w:rPr>
        <w:footnoteReference w:id="130"/>
      </w:r>
      <w:r w:rsidRPr="00257ACB">
        <w:rPr>
          <w:rFonts w:ascii="Times New Roman" w:hAnsi="Times New Roman" w:cs="Times New Roman"/>
          <w:sz w:val="26"/>
          <w:szCs w:val="26"/>
        </w:rPr>
        <w:t xml:space="preserve"> which could be more understandable especially once the phenomenon is seen against the context of the ‘richness of non-legal accounts and analyses’,</w:t>
      </w:r>
      <w:r w:rsidR="0083368E">
        <w:rPr>
          <w:rStyle w:val="ae"/>
          <w:rFonts w:ascii="Times New Roman" w:hAnsi="Times New Roman" w:cs="Times New Roman"/>
          <w:sz w:val="26"/>
          <w:szCs w:val="26"/>
        </w:rPr>
        <w:footnoteReference w:id="131"/>
      </w:r>
      <w:r w:rsidRPr="00257ACB">
        <w:rPr>
          <w:rFonts w:ascii="Times New Roman" w:hAnsi="Times New Roman" w:cs="Times New Roman"/>
          <w:sz w:val="26"/>
          <w:szCs w:val="26"/>
        </w:rPr>
        <w:t xml:space="preserve"> found for example in a recent report on Zero-Hours Contracts by the Resolution Foundation.</w:t>
      </w:r>
      <w:r w:rsidR="0083368E">
        <w:rPr>
          <w:rStyle w:val="ae"/>
          <w:rFonts w:ascii="Times New Roman" w:hAnsi="Times New Roman" w:cs="Times New Roman"/>
          <w:sz w:val="26"/>
          <w:szCs w:val="26"/>
        </w:rPr>
        <w:footnoteReference w:id="132"/>
      </w:r>
      <w:r w:rsidRPr="00257ACB">
        <w:rPr>
          <w:rFonts w:ascii="Times New Roman" w:hAnsi="Times New Roman" w:cs="Times New Roman"/>
          <w:sz w:val="26"/>
          <w:szCs w:val="26"/>
        </w:rPr>
        <w:t xml:space="preserve"> </w:t>
      </w:r>
      <w:r w:rsidR="00060DE4" w:rsidRPr="00257ACB">
        <w:rPr>
          <w:rFonts w:ascii="Times New Roman" w:hAnsi="Times New Roman" w:cs="Times New Roman"/>
          <w:sz w:val="26"/>
          <w:szCs w:val="26"/>
        </w:rPr>
        <w:t xml:space="preserve"> </w:t>
      </w:r>
    </w:p>
    <w:p w14:paraId="318CC18F" w14:textId="668D73F0" w:rsidR="00854EAF" w:rsidRPr="00257ACB" w:rsidRDefault="00DE5119" w:rsidP="00A835B4">
      <w:pPr>
        <w:pStyle w:val="a3"/>
        <w:rPr>
          <w:rFonts w:ascii="Times New Roman" w:hAnsi="Times New Roman" w:cs="Times New Roman"/>
          <w:sz w:val="26"/>
          <w:szCs w:val="26"/>
        </w:rPr>
      </w:pPr>
      <w:r w:rsidRPr="00257ACB">
        <w:rPr>
          <w:rFonts w:ascii="Times New Roman" w:hAnsi="Times New Roman" w:cs="Times New Roman"/>
          <w:sz w:val="26"/>
          <w:szCs w:val="26"/>
        </w:rPr>
        <w:lastRenderedPageBreak/>
        <w:t xml:space="preserve">The lack of clarity and uniformity </w:t>
      </w:r>
      <w:r w:rsidR="00724951" w:rsidRPr="00257ACB">
        <w:rPr>
          <w:rFonts w:ascii="Times New Roman" w:hAnsi="Times New Roman" w:cs="Times New Roman"/>
          <w:sz w:val="26"/>
          <w:szCs w:val="26"/>
        </w:rPr>
        <w:t>mentioned above can have a detrimental impact on the quality of</w:t>
      </w:r>
      <w:r w:rsidRPr="00257ACB">
        <w:rPr>
          <w:rFonts w:ascii="Times New Roman" w:hAnsi="Times New Roman" w:cs="Times New Roman"/>
          <w:sz w:val="26"/>
          <w:szCs w:val="26"/>
        </w:rPr>
        <w:t xml:space="preserve"> the empirical evidence on work under Zero-Hours Contracts </w:t>
      </w:r>
      <w:r w:rsidR="00724951" w:rsidRPr="00257ACB">
        <w:rPr>
          <w:rFonts w:ascii="Times New Roman" w:hAnsi="Times New Roman" w:cs="Times New Roman"/>
          <w:sz w:val="26"/>
          <w:szCs w:val="26"/>
        </w:rPr>
        <w:t>even if it cannot but to be admitted that</w:t>
      </w:r>
      <w:r w:rsidRPr="00257ACB">
        <w:rPr>
          <w:rFonts w:ascii="Times New Roman" w:hAnsi="Times New Roman" w:cs="Times New Roman"/>
          <w:sz w:val="26"/>
          <w:szCs w:val="26"/>
        </w:rPr>
        <w:t xml:space="preserve"> ‘[t]he statistic provide the only way of finding out what is going on [with regards to such arrangements] in our economy.’</w:t>
      </w:r>
      <w:r w:rsidR="0083368E">
        <w:rPr>
          <w:rStyle w:val="ae"/>
          <w:rFonts w:ascii="Times New Roman" w:hAnsi="Times New Roman" w:cs="Times New Roman"/>
          <w:sz w:val="26"/>
          <w:szCs w:val="26"/>
        </w:rPr>
        <w:footnoteReference w:id="133"/>
      </w:r>
      <w:r w:rsidR="00724951" w:rsidRPr="00257ACB">
        <w:rPr>
          <w:rFonts w:ascii="Times New Roman" w:hAnsi="Times New Roman" w:cs="Times New Roman"/>
          <w:sz w:val="26"/>
          <w:szCs w:val="26"/>
        </w:rPr>
        <w:t xml:space="preserve"> </w:t>
      </w:r>
      <w:r w:rsidR="003B1F9B" w:rsidRPr="00257ACB">
        <w:rPr>
          <w:rFonts w:ascii="Times New Roman" w:hAnsi="Times New Roman" w:cs="Times New Roman"/>
          <w:sz w:val="26"/>
          <w:szCs w:val="26"/>
        </w:rPr>
        <w:t xml:space="preserve">That </w:t>
      </w:r>
      <w:r w:rsidR="00B9634D" w:rsidRPr="00257ACB">
        <w:rPr>
          <w:rFonts w:ascii="Times New Roman" w:hAnsi="Times New Roman" w:cs="Times New Roman"/>
          <w:sz w:val="26"/>
          <w:szCs w:val="26"/>
        </w:rPr>
        <w:t xml:space="preserve">is, it </w:t>
      </w:r>
      <w:r w:rsidR="00EF6A89" w:rsidRPr="00257ACB">
        <w:rPr>
          <w:rFonts w:ascii="Times New Roman" w:hAnsi="Times New Roman" w:cs="Times New Roman"/>
          <w:sz w:val="26"/>
          <w:szCs w:val="26"/>
        </w:rPr>
        <w:t>should</w:t>
      </w:r>
      <w:r w:rsidR="00F36816" w:rsidRPr="00257ACB">
        <w:rPr>
          <w:rFonts w:ascii="Times New Roman" w:hAnsi="Times New Roman" w:cs="Times New Roman"/>
          <w:sz w:val="26"/>
          <w:szCs w:val="26"/>
        </w:rPr>
        <w:t xml:space="preserve"> be mentioned</w:t>
      </w:r>
      <w:r w:rsidR="00B9634D" w:rsidRPr="00257ACB">
        <w:rPr>
          <w:rFonts w:ascii="Times New Roman" w:hAnsi="Times New Roman" w:cs="Times New Roman"/>
          <w:sz w:val="26"/>
          <w:szCs w:val="26"/>
        </w:rPr>
        <w:t xml:space="preserve"> that the number of people in employment on ‘zero-hours contracts’ in their main job calculated at 901,000 for the period from October to December 2017</w:t>
      </w:r>
      <w:r w:rsidR="003B1F9B" w:rsidRPr="00257ACB">
        <w:rPr>
          <w:rFonts w:ascii="Times New Roman" w:hAnsi="Times New Roman" w:cs="Times New Roman"/>
          <w:sz w:val="26"/>
          <w:szCs w:val="26"/>
        </w:rPr>
        <w:t xml:space="preserve"> as illustrated above,</w:t>
      </w:r>
      <w:r w:rsidR="00B9634D" w:rsidRPr="00257ACB">
        <w:rPr>
          <w:rFonts w:ascii="Times New Roman" w:hAnsi="Times New Roman" w:cs="Times New Roman"/>
          <w:sz w:val="26"/>
          <w:szCs w:val="26"/>
        </w:rPr>
        <w:t xml:space="preserve"> still has some possibility to represent a underestimation of the prevalence of Zero-Hours Contracts</w:t>
      </w:r>
      <w:r w:rsidR="00A7233C" w:rsidRPr="00257ACB">
        <w:rPr>
          <w:rFonts w:ascii="Times New Roman" w:hAnsi="Times New Roman" w:cs="Times New Roman"/>
          <w:sz w:val="26"/>
          <w:szCs w:val="26"/>
        </w:rPr>
        <w:t xml:space="preserve">, as the </w:t>
      </w:r>
      <w:r w:rsidR="003B1F9B" w:rsidRPr="00257ACB">
        <w:rPr>
          <w:rFonts w:ascii="Times New Roman" w:hAnsi="Times New Roman" w:cs="Times New Roman"/>
          <w:sz w:val="26"/>
          <w:szCs w:val="26"/>
        </w:rPr>
        <w:t xml:space="preserve">existence of varied definitions makes it very difficult to gauge the actual prevalence of Zero-Hours work. </w:t>
      </w:r>
    </w:p>
    <w:p w14:paraId="5B7F5FB9" w14:textId="1A80DFFA" w:rsidR="005C0C74" w:rsidRPr="00257ACB" w:rsidRDefault="001E7FF3" w:rsidP="00A835B4">
      <w:pPr>
        <w:pStyle w:val="a3"/>
        <w:rPr>
          <w:rFonts w:ascii="Times New Roman" w:hAnsi="Times New Roman" w:cs="Times New Roman"/>
          <w:sz w:val="26"/>
          <w:szCs w:val="26"/>
        </w:rPr>
      </w:pPr>
      <w:proofErr w:type="gramStart"/>
      <w:r w:rsidRPr="00257ACB">
        <w:rPr>
          <w:rFonts w:ascii="Times New Roman" w:hAnsi="Times New Roman" w:cs="Times New Roman"/>
          <w:sz w:val="26"/>
          <w:szCs w:val="26"/>
        </w:rPr>
        <w:t>First of all</w:t>
      </w:r>
      <w:proofErr w:type="gramEnd"/>
      <w:r w:rsidRPr="00257ACB">
        <w:rPr>
          <w:rFonts w:ascii="Times New Roman" w:hAnsi="Times New Roman" w:cs="Times New Roman"/>
          <w:sz w:val="26"/>
          <w:szCs w:val="26"/>
        </w:rPr>
        <w:t xml:space="preserve">, it can be deeply problematic that the empirical estimates of Zero-Hours workers depends upon </w:t>
      </w:r>
      <w:r w:rsidR="00E737BB" w:rsidRPr="00257ACB">
        <w:rPr>
          <w:rFonts w:ascii="Times New Roman" w:hAnsi="Times New Roman" w:cs="Times New Roman"/>
          <w:sz w:val="26"/>
          <w:szCs w:val="26"/>
        </w:rPr>
        <w:t xml:space="preserve">survey respondents’ individual understating of the term Zero-Hours Contract, because the concept </w:t>
      </w:r>
      <w:r w:rsidR="006F436B" w:rsidRPr="00257ACB">
        <w:rPr>
          <w:rFonts w:ascii="Times New Roman" w:hAnsi="Times New Roman" w:cs="Times New Roman"/>
          <w:sz w:val="26"/>
          <w:szCs w:val="26"/>
        </w:rPr>
        <w:t>is</w:t>
      </w:r>
      <w:r w:rsidR="00A766F7" w:rsidRPr="00257ACB">
        <w:rPr>
          <w:rFonts w:ascii="Times New Roman" w:hAnsi="Times New Roman" w:cs="Times New Roman"/>
          <w:sz w:val="26"/>
          <w:szCs w:val="26"/>
        </w:rPr>
        <w:t xml:space="preserve"> neither b</w:t>
      </w:r>
      <w:r w:rsidR="00E737BB" w:rsidRPr="00257ACB">
        <w:rPr>
          <w:rFonts w:ascii="Times New Roman" w:hAnsi="Times New Roman" w:cs="Times New Roman"/>
          <w:sz w:val="26"/>
          <w:szCs w:val="26"/>
        </w:rPr>
        <w:t xml:space="preserve">e consistently defined over time, nor between the </w:t>
      </w:r>
      <w:proofErr w:type="spellStart"/>
      <w:r w:rsidR="00E737BB" w:rsidRPr="00257ACB">
        <w:rPr>
          <w:rFonts w:ascii="Times New Roman" w:hAnsi="Times New Roman" w:cs="Times New Roman"/>
          <w:sz w:val="26"/>
          <w:szCs w:val="26"/>
        </w:rPr>
        <w:t>Labour</w:t>
      </w:r>
      <w:proofErr w:type="spellEnd"/>
      <w:r w:rsidR="00E737BB" w:rsidRPr="00257ACB">
        <w:rPr>
          <w:rFonts w:ascii="Times New Roman" w:hAnsi="Times New Roman" w:cs="Times New Roman"/>
          <w:sz w:val="26"/>
          <w:szCs w:val="26"/>
        </w:rPr>
        <w:t xml:space="preserve"> Force Survey administered by the Office for National Statistics (ONS) and the survey respondent</w:t>
      </w:r>
      <w:r w:rsidR="007A6056" w:rsidRPr="00257ACB">
        <w:rPr>
          <w:rFonts w:ascii="Times New Roman" w:hAnsi="Times New Roman" w:cs="Times New Roman"/>
          <w:sz w:val="26"/>
          <w:szCs w:val="26"/>
        </w:rPr>
        <w:t>s</w:t>
      </w:r>
      <w:r w:rsidR="005C0C74" w:rsidRPr="00257ACB">
        <w:rPr>
          <w:rFonts w:ascii="Times New Roman" w:hAnsi="Times New Roman" w:cs="Times New Roman"/>
          <w:sz w:val="26"/>
          <w:szCs w:val="26"/>
        </w:rPr>
        <w:t>. The survey respondents</w:t>
      </w:r>
      <w:r w:rsidR="00620B43" w:rsidRPr="00257ACB">
        <w:rPr>
          <w:rFonts w:ascii="Times New Roman" w:hAnsi="Times New Roman" w:cs="Times New Roman"/>
          <w:sz w:val="26"/>
          <w:szCs w:val="26"/>
        </w:rPr>
        <w:t xml:space="preserve"> are </w:t>
      </w:r>
      <w:r w:rsidR="007A6056" w:rsidRPr="00257ACB">
        <w:rPr>
          <w:rFonts w:ascii="Times New Roman" w:hAnsi="Times New Roman" w:cs="Times New Roman"/>
          <w:sz w:val="26"/>
          <w:szCs w:val="26"/>
        </w:rPr>
        <w:t xml:space="preserve">likely to </w:t>
      </w:r>
      <w:r w:rsidR="00620B43" w:rsidRPr="00257ACB">
        <w:rPr>
          <w:rFonts w:ascii="Times New Roman" w:hAnsi="Times New Roman" w:cs="Times New Roman"/>
          <w:sz w:val="26"/>
          <w:szCs w:val="26"/>
        </w:rPr>
        <w:t>e</w:t>
      </w:r>
      <w:r w:rsidR="007A6056" w:rsidRPr="00257ACB">
        <w:rPr>
          <w:rFonts w:ascii="Times New Roman" w:hAnsi="Times New Roman" w:cs="Times New Roman"/>
          <w:sz w:val="26"/>
          <w:szCs w:val="26"/>
        </w:rPr>
        <w:t xml:space="preserve">xclude themselves from being recorded as working under a Zero-Hours Contract </w:t>
      </w:r>
      <w:r w:rsidR="005C0C74" w:rsidRPr="00257ACB">
        <w:rPr>
          <w:rFonts w:ascii="Times New Roman" w:hAnsi="Times New Roman" w:cs="Times New Roman"/>
          <w:sz w:val="26"/>
          <w:szCs w:val="26"/>
        </w:rPr>
        <w:t xml:space="preserve">and will be recorded as </w:t>
      </w:r>
      <w:r w:rsidR="007A6056" w:rsidRPr="00257ACB">
        <w:rPr>
          <w:rFonts w:ascii="Times New Roman" w:hAnsi="Times New Roman" w:cs="Times New Roman"/>
          <w:sz w:val="26"/>
          <w:szCs w:val="26"/>
        </w:rPr>
        <w:t>employed under ‘none of these’ working arrangements.</w:t>
      </w:r>
      <w:r w:rsidR="0083368E">
        <w:rPr>
          <w:rStyle w:val="ae"/>
          <w:rFonts w:ascii="Times New Roman" w:hAnsi="Times New Roman" w:cs="Times New Roman"/>
          <w:sz w:val="26"/>
          <w:szCs w:val="26"/>
        </w:rPr>
        <w:footnoteReference w:id="134"/>
      </w:r>
      <w:r w:rsidR="007A6056" w:rsidRPr="00257ACB">
        <w:rPr>
          <w:rFonts w:ascii="Times New Roman" w:hAnsi="Times New Roman" w:cs="Times New Roman"/>
          <w:sz w:val="26"/>
          <w:szCs w:val="26"/>
        </w:rPr>
        <w:t xml:space="preserve"> </w:t>
      </w:r>
      <w:r w:rsidR="005C0C74" w:rsidRPr="00257ACB">
        <w:rPr>
          <w:rFonts w:ascii="Times New Roman" w:hAnsi="Times New Roman" w:cs="Times New Roman"/>
          <w:sz w:val="26"/>
          <w:szCs w:val="26"/>
        </w:rPr>
        <w:t>Also, it has been acknowledged that the ONS’ lack of clarity is likely to have hindered individuals from correctly identifying their working arrangements.</w:t>
      </w:r>
      <w:r w:rsidR="0083368E">
        <w:rPr>
          <w:rStyle w:val="ae"/>
          <w:rFonts w:ascii="Times New Roman" w:hAnsi="Times New Roman" w:cs="Times New Roman"/>
          <w:sz w:val="26"/>
          <w:szCs w:val="26"/>
        </w:rPr>
        <w:footnoteReference w:id="135"/>
      </w:r>
      <w:r w:rsidR="005C0C74" w:rsidRPr="00257ACB">
        <w:rPr>
          <w:rFonts w:ascii="Times New Roman" w:hAnsi="Times New Roman" w:cs="Times New Roman"/>
          <w:sz w:val="26"/>
          <w:szCs w:val="26"/>
        </w:rPr>
        <w:t xml:space="preserve"> The LFS is based upon the responses of individuals, who will </w:t>
      </w:r>
      <w:r w:rsidR="00526F91" w:rsidRPr="00257ACB">
        <w:rPr>
          <w:rFonts w:ascii="Times New Roman" w:hAnsi="Times New Roman" w:cs="Times New Roman"/>
          <w:sz w:val="26"/>
          <w:szCs w:val="26"/>
        </w:rPr>
        <w:t>often</w:t>
      </w:r>
      <w:r w:rsidR="005C0C74" w:rsidRPr="00257ACB">
        <w:rPr>
          <w:rFonts w:ascii="Times New Roman" w:hAnsi="Times New Roman" w:cs="Times New Roman"/>
          <w:sz w:val="26"/>
          <w:szCs w:val="26"/>
        </w:rPr>
        <w:t xml:space="preserve"> not have the</w:t>
      </w:r>
      <w:r w:rsidR="00526F91" w:rsidRPr="00257ACB">
        <w:rPr>
          <w:rFonts w:ascii="Times New Roman" w:hAnsi="Times New Roman" w:cs="Times New Roman"/>
          <w:sz w:val="26"/>
          <w:szCs w:val="26"/>
        </w:rPr>
        <w:t xml:space="preserve"> significant </w:t>
      </w:r>
      <w:r w:rsidR="005C0C74" w:rsidRPr="00257ACB">
        <w:rPr>
          <w:rFonts w:ascii="Times New Roman" w:hAnsi="Times New Roman" w:cs="Times New Roman"/>
          <w:sz w:val="26"/>
          <w:szCs w:val="26"/>
        </w:rPr>
        <w:t>information about, or understanding of, their contractual situation to provide reliable evidence in this regard.</w:t>
      </w:r>
      <w:r w:rsidR="0083368E">
        <w:rPr>
          <w:rStyle w:val="ae"/>
          <w:rFonts w:ascii="Times New Roman" w:hAnsi="Times New Roman" w:cs="Times New Roman"/>
          <w:sz w:val="26"/>
          <w:szCs w:val="26"/>
        </w:rPr>
        <w:footnoteReference w:id="136"/>
      </w:r>
      <w:r w:rsidR="005C0C74" w:rsidRPr="00257ACB">
        <w:rPr>
          <w:rFonts w:ascii="Times New Roman" w:hAnsi="Times New Roman" w:cs="Times New Roman"/>
          <w:sz w:val="26"/>
          <w:szCs w:val="26"/>
        </w:rPr>
        <w:t xml:space="preserve"> For example,</w:t>
      </w:r>
      <w:r w:rsidR="00526F91" w:rsidRPr="00257ACB">
        <w:rPr>
          <w:rFonts w:ascii="Times New Roman" w:hAnsi="Times New Roman" w:cs="Times New Roman"/>
          <w:sz w:val="26"/>
          <w:szCs w:val="26"/>
        </w:rPr>
        <w:t xml:space="preserve"> as shown in </w:t>
      </w:r>
      <w:r w:rsidR="005C0C74" w:rsidRPr="00257ACB">
        <w:rPr>
          <w:rFonts w:ascii="Times New Roman" w:hAnsi="Times New Roman" w:cs="Times New Roman"/>
          <w:sz w:val="26"/>
          <w:szCs w:val="26"/>
        </w:rPr>
        <w:t xml:space="preserve">an interview given to the Resolution Foundation, </w:t>
      </w:r>
      <w:r w:rsidR="00526F91" w:rsidRPr="00257ACB">
        <w:rPr>
          <w:rFonts w:ascii="Times New Roman" w:hAnsi="Times New Roman" w:cs="Times New Roman"/>
          <w:sz w:val="26"/>
          <w:szCs w:val="26"/>
        </w:rPr>
        <w:t xml:space="preserve">there was </w:t>
      </w:r>
      <w:r w:rsidR="005C0C74" w:rsidRPr="00257ACB">
        <w:rPr>
          <w:rFonts w:ascii="Times New Roman" w:hAnsi="Times New Roman" w:cs="Times New Roman"/>
          <w:sz w:val="26"/>
          <w:szCs w:val="26"/>
        </w:rPr>
        <w:t>a further education lecturer in Bradford suggest</w:t>
      </w:r>
      <w:r w:rsidR="00526F91" w:rsidRPr="00257ACB">
        <w:rPr>
          <w:rFonts w:ascii="Times New Roman" w:hAnsi="Times New Roman" w:cs="Times New Roman"/>
          <w:sz w:val="26"/>
          <w:szCs w:val="26"/>
        </w:rPr>
        <w:t xml:space="preserve">ing that he had </w:t>
      </w:r>
      <w:r w:rsidR="00410EE4" w:rsidRPr="00257ACB">
        <w:rPr>
          <w:rFonts w:ascii="Times New Roman" w:hAnsi="Times New Roman" w:cs="Times New Roman"/>
          <w:sz w:val="26"/>
          <w:szCs w:val="26"/>
        </w:rPr>
        <w:t>no idea</w:t>
      </w:r>
      <w:r w:rsidR="00526F91" w:rsidRPr="00257ACB">
        <w:rPr>
          <w:rFonts w:ascii="Times New Roman" w:hAnsi="Times New Roman" w:cs="Times New Roman"/>
          <w:sz w:val="26"/>
          <w:szCs w:val="26"/>
        </w:rPr>
        <w:t xml:space="preserve"> that </w:t>
      </w:r>
      <w:r w:rsidR="00526F91" w:rsidRPr="00257ACB">
        <w:rPr>
          <w:rFonts w:ascii="Times New Roman" w:hAnsi="Times New Roman" w:cs="Times New Roman"/>
          <w:sz w:val="26"/>
          <w:szCs w:val="26"/>
        </w:rPr>
        <w:lastRenderedPageBreak/>
        <w:t xml:space="preserve">he </w:t>
      </w:r>
      <w:r w:rsidR="00410EE4" w:rsidRPr="00257ACB">
        <w:rPr>
          <w:rFonts w:ascii="Times New Roman" w:hAnsi="Times New Roman" w:cs="Times New Roman"/>
          <w:sz w:val="26"/>
          <w:szCs w:val="26"/>
        </w:rPr>
        <w:t>had signed a zero-hours contract</w:t>
      </w:r>
      <w:r w:rsidR="00BB11E3" w:rsidRPr="00257ACB">
        <w:rPr>
          <w:rFonts w:ascii="Times New Roman" w:hAnsi="Times New Roman" w:cs="Times New Roman"/>
          <w:sz w:val="26"/>
          <w:szCs w:val="26"/>
        </w:rPr>
        <w:t xml:space="preserve"> and </w:t>
      </w:r>
      <w:r w:rsidR="00526F91" w:rsidRPr="00257ACB">
        <w:rPr>
          <w:rFonts w:ascii="Times New Roman" w:hAnsi="Times New Roman" w:cs="Times New Roman"/>
          <w:sz w:val="26"/>
          <w:szCs w:val="26"/>
        </w:rPr>
        <w:t>that when he had applied for the job</w:t>
      </w:r>
      <w:r w:rsidR="00410EE4" w:rsidRPr="00257ACB">
        <w:rPr>
          <w:rFonts w:ascii="Times New Roman" w:hAnsi="Times New Roman" w:cs="Times New Roman"/>
          <w:sz w:val="26"/>
          <w:szCs w:val="26"/>
        </w:rPr>
        <w:t xml:space="preserve"> it </w:t>
      </w:r>
      <w:r w:rsidR="00526F91" w:rsidRPr="00257ACB">
        <w:rPr>
          <w:rFonts w:ascii="Times New Roman" w:hAnsi="Times New Roman" w:cs="Times New Roman"/>
          <w:sz w:val="26"/>
          <w:szCs w:val="26"/>
        </w:rPr>
        <w:t>had been</w:t>
      </w:r>
      <w:r w:rsidR="00410EE4" w:rsidRPr="00257ACB">
        <w:rPr>
          <w:rFonts w:ascii="Times New Roman" w:hAnsi="Times New Roman" w:cs="Times New Roman"/>
          <w:sz w:val="26"/>
          <w:szCs w:val="26"/>
        </w:rPr>
        <w:t xml:space="preserve"> advertised </w:t>
      </w:r>
      <w:r w:rsidR="00BB11E3" w:rsidRPr="00257ACB">
        <w:rPr>
          <w:rFonts w:ascii="Times New Roman" w:hAnsi="Times New Roman" w:cs="Times New Roman"/>
          <w:sz w:val="26"/>
          <w:szCs w:val="26"/>
        </w:rPr>
        <w:t>a job</w:t>
      </w:r>
      <w:r w:rsidR="00526F91" w:rsidRPr="00257ACB">
        <w:rPr>
          <w:rFonts w:ascii="Times New Roman" w:hAnsi="Times New Roman" w:cs="Times New Roman"/>
          <w:sz w:val="26"/>
          <w:szCs w:val="26"/>
        </w:rPr>
        <w:t xml:space="preserve"> with the work time of</w:t>
      </w:r>
      <w:r w:rsidR="00410EE4" w:rsidRPr="00257ACB">
        <w:rPr>
          <w:rFonts w:ascii="Times New Roman" w:hAnsi="Times New Roman" w:cs="Times New Roman"/>
          <w:sz w:val="26"/>
          <w:szCs w:val="26"/>
        </w:rPr>
        <w:t xml:space="preserve"> between three and twenty-one hours a week.</w:t>
      </w:r>
      <w:r w:rsidR="0083368E">
        <w:rPr>
          <w:rStyle w:val="ae"/>
          <w:rFonts w:ascii="Times New Roman" w:hAnsi="Times New Roman" w:cs="Times New Roman"/>
          <w:sz w:val="26"/>
          <w:szCs w:val="26"/>
        </w:rPr>
        <w:footnoteReference w:id="137"/>
      </w:r>
      <w:r w:rsidR="00614071" w:rsidRPr="00257ACB">
        <w:rPr>
          <w:rFonts w:ascii="Times New Roman" w:hAnsi="Times New Roman" w:cs="Times New Roman"/>
          <w:sz w:val="26"/>
          <w:szCs w:val="26"/>
        </w:rPr>
        <w:t xml:space="preserve"> </w:t>
      </w:r>
      <w:r w:rsidR="00F55B11" w:rsidRPr="00257ACB">
        <w:rPr>
          <w:rFonts w:ascii="Times New Roman" w:hAnsi="Times New Roman" w:cs="Times New Roman"/>
          <w:sz w:val="26"/>
          <w:szCs w:val="26"/>
        </w:rPr>
        <w:t>In response to these difficulties, the ONS have begun to carry out a survey of businesses, who may be better placed to respond to questions about the contractual arrangements of their workers.</w:t>
      </w:r>
      <w:r w:rsidR="00C67DED" w:rsidRPr="00257ACB">
        <w:rPr>
          <w:rFonts w:ascii="Times New Roman" w:hAnsi="Times New Roman" w:cs="Times New Roman"/>
          <w:sz w:val="26"/>
          <w:szCs w:val="26"/>
        </w:rPr>
        <w:t xml:space="preserve"> </w:t>
      </w:r>
      <w:r w:rsidR="0083368E">
        <w:rPr>
          <w:rStyle w:val="ae"/>
          <w:rFonts w:ascii="Times New Roman" w:hAnsi="Times New Roman" w:cs="Times New Roman"/>
          <w:sz w:val="26"/>
          <w:szCs w:val="26"/>
        </w:rPr>
        <w:footnoteReference w:id="138"/>
      </w:r>
      <w:r w:rsidR="00E358CD" w:rsidRPr="00257ACB">
        <w:rPr>
          <w:rFonts w:ascii="Times New Roman" w:hAnsi="Times New Roman" w:cs="Times New Roman"/>
          <w:sz w:val="26"/>
          <w:szCs w:val="26"/>
        </w:rPr>
        <w:t>And then the</w:t>
      </w:r>
      <w:r w:rsidR="00C67DED" w:rsidRPr="00257ACB">
        <w:rPr>
          <w:rFonts w:ascii="Times New Roman" w:hAnsi="Times New Roman" w:cs="Times New Roman"/>
          <w:sz w:val="26"/>
          <w:szCs w:val="26"/>
        </w:rPr>
        <w:t xml:space="preserve"> first results of this new methodology, released in the late spring of 2014, show a significant increase in the numbers of ‘Employee Contracts that do not Guarantee a Minimum Number of Hours’, as</w:t>
      </w:r>
      <w:r w:rsidR="00E358CD" w:rsidRPr="00257ACB">
        <w:rPr>
          <w:rFonts w:ascii="Times New Roman" w:hAnsi="Times New Roman" w:cs="Times New Roman"/>
          <w:sz w:val="26"/>
          <w:szCs w:val="26"/>
        </w:rPr>
        <w:t xml:space="preserve"> now being referred to in</w:t>
      </w:r>
      <w:r w:rsidR="00C67DED" w:rsidRPr="00257ACB">
        <w:rPr>
          <w:rFonts w:ascii="Times New Roman" w:hAnsi="Times New Roman" w:cs="Times New Roman"/>
          <w:sz w:val="26"/>
          <w:szCs w:val="26"/>
        </w:rPr>
        <w:t xml:space="preserve"> the broad category of Zero-Hours arrangements.</w:t>
      </w:r>
      <w:r w:rsidR="0083368E">
        <w:rPr>
          <w:rStyle w:val="ae"/>
          <w:rFonts w:ascii="Times New Roman" w:hAnsi="Times New Roman" w:cs="Times New Roman"/>
          <w:sz w:val="26"/>
          <w:szCs w:val="26"/>
        </w:rPr>
        <w:footnoteReference w:id="139"/>
      </w:r>
      <w:r w:rsidR="0052527D" w:rsidRPr="00257ACB">
        <w:rPr>
          <w:rFonts w:ascii="Times New Roman" w:hAnsi="Times New Roman" w:cs="Times New Roman"/>
          <w:sz w:val="26"/>
          <w:szCs w:val="26"/>
        </w:rPr>
        <w:t xml:space="preserve"> However, it has been</w:t>
      </w:r>
      <w:r w:rsidR="002661A2" w:rsidRPr="00257ACB">
        <w:rPr>
          <w:rFonts w:ascii="Times New Roman" w:hAnsi="Times New Roman" w:cs="Times New Roman"/>
          <w:sz w:val="26"/>
          <w:szCs w:val="26"/>
        </w:rPr>
        <w:t xml:space="preserve"> acknowledged</w:t>
      </w:r>
      <w:r w:rsidR="0052527D" w:rsidRPr="00257ACB">
        <w:rPr>
          <w:rFonts w:ascii="Times New Roman" w:hAnsi="Times New Roman" w:cs="Times New Roman"/>
          <w:sz w:val="26"/>
          <w:szCs w:val="26"/>
        </w:rPr>
        <w:t xml:space="preserve"> that it can be still problematic </w:t>
      </w:r>
      <w:r w:rsidR="00816CEE" w:rsidRPr="00257ACB">
        <w:rPr>
          <w:rFonts w:ascii="Times New Roman" w:hAnsi="Times New Roman" w:cs="Times New Roman"/>
          <w:sz w:val="26"/>
          <w:szCs w:val="26"/>
        </w:rPr>
        <w:t xml:space="preserve">to measure in empirical surveys </w:t>
      </w:r>
      <w:r w:rsidR="0052527D" w:rsidRPr="00257ACB">
        <w:rPr>
          <w:rFonts w:ascii="Times New Roman" w:hAnsi="Times New Roman" w:cs="Times New Roman"/>
          <w:sz w:val="26"/>
          <w:szCs w:val="26"/>
        </w:rPr>
        <w:t>because significant further analysis of the data collected should be required to present a clearer picture.</w:t>
      </w:r>
      <w:r w:rsidR="0083368E">
        <w:rPr>
          <w:rStyle w:val="ae"/>
          <w:rFonts w:ascii="Times New Roman" w:hAnsi="Times New Roman" w:cs="Times New Roman"/>
          <w:sz w:val="26"/>
          <w:szCs w:val="26"/>
        </w:rPr>
        <w:footnoteReference w:id="140"/>
      </w:r>
      <w:r w:rsidR="00816CEE" w:rsidRPr="00257ACB">
        <w:rPr>
          <w:rFonts w:ascii="Times New Roman" w:hAnsi="Times New Roman" w:cs="Times New Roman"/>
          <w:sz w:val="26"/>
          <w:szCs w:val="26"/>
        </w:rPr>
        <w:t xml:space="preserve"> To sum up, despite assuming public and regulatory perceptions</w:t>
      </w:r>
      <w:r w:rsidR="002661A2" w:rsidRPr="00257ACB">
        <w:rPr>
          <w:rFonts w:ascii="Times New Roman" w:hAnsi="Times New Roman" w:cs="Times New Roman"/>
          <w:sz w:val="26"/>
          <w:szCs w:val="26"/>
        </w:rPr>
        <w:t xml:space="preserve">, it can be said Zero-Hours contract does not reflect an overarching or consistent category of varied casual work forms and it makes it difficult to measure </w:t>
      </w:r>
      <w:r w:rsidR="008D51CD" w:rsidRPr="00257ACB">
        <w:rPr>
          <w:rFonts w:ascii="Times New Roman" w:hAnsi="Times New Roman" w:cs="Times New Roman"/>
          <w:sz w:val="26"/>
          <w:szCs w:val="26"/>
        </w:rPr>
        <w:t>in empirical surveys, so that cannot easily be mapped onto the legal spectrum of contractual employment relationships.</w:t>
      </w:r>
      <w:r w:rsidR="0083368E">
        <w:rPr>
          <w:rStyle w:val="ae"/>
          <w:rFonts w:ascii="Times New Roman" w:hAnsi="Times New Roman" w:cs="Times New Roman"/>
          <w:sz w:val="26"/>
          <w:szCs w:val="26"/>
        </w:rPr>
        <w:footnoteReference w:id="141"/>
      </w:r>
      <w:r w:rsidR="00B22368" w:rsidRPr="00257ACB">
        <w:rPr>
          <w:rFonts w:ascii="Times New Roman" w:hAnsi="Times New Roman" w:cs="Times New Roman"/>
          <w:sz w:val="26"/>
          <w:szCs w:val="26"/>
        </w:rPr>
        <w:t xml:space="preserve"> </w:t>
      </w:r>
    </w:p>
    <w:p w14:paraId="317CA664" w14:textId="77777777" w:rsidR="00C0388D" w:rsidRPr="00257ACB" w:rsidRDefault="00C0388D" w:rsidP="00B22368">
      <w:pPr>
        <w:pStyle w:val="a3"/>
        <w:ind w:leftChars="0" w:left="1480"/>
        <w:rPr>
          <w:rFonts w:ascii="Times New Roman" w:hAnsi="Times New Roman" w:cs="Times New Roman"/>
          <w:sz w:val="26"/>
          <w:szCs w:val="26"/>
        </w:rPr>
      </w:pPr>
    </w:p>
    <w:p w14:paraId="7FF86970" w14:textId="47D7BD5E" w:rsidR="00B22368" w:rsidRPr="00257ACB" w:rsidRDefault="00C0388D" w:rsidP="00B22368">
      <w:pPr>
        <w:pStyle w:val="a3"/>
        <w:numPr>
          <w:ilvl w:val="0"/>
          <w:numId w:val="10"/>
        </w:numPr>
        <w:ind w:leftChars="0"/>
        <w:rPr>
          <w:rFonts w:ascii="Times New Roman" w:hAnsi="Times New Roman" w:cs="Times New Roman"/>
          <w:sz w:val="26"/>
          <w:szCs w:val="26"/>
        </w:rPr>
      </w:pPr>
      <w:r w:rsidRPr="00257ACB">
        <w:rPr>
          <w:rFonts w:ascii="Times New Roman" w:hAnsi="Times New Roman" w:cs="Times New Roman"/>
          <w:sz w:val="26"/>
          <w:szCs w:val="26"/>
        </w:rPr>
        <w:t>A r</w:t>
      </w:r>
      <w:r w:rsidR="00D5524A" w:rsidRPr="00257ACB">
        <w:rPr>
          <w:rFonts w:ascii="Times New Roman" w:hAnsi="Times New Roman" w:cs="Times New Roman"/>
          <w:sz w:val="26"/>
          <w:szCs w:val="26"/>
        </w:rPr>
        <w:t xml:space="preserve">egulation of </w:t>
      </w:r>
      <w:proofErr w:type="spellStart"/>
      <w:r w:rsidR="00D5524A" w:rsidRPr="00257ACB">
        <w:rPr>
          <w:rFonts w:ascii="Times New Roman" w:hAnsi="Times New Roman" w:cs="Times New Roman"/>
          <w:sz w:val="26"/>
          <w:szCs w:val="26"/>
        </w:rPr>
        <w:t>labour</w:t>
      </w:r>
      <w:proofErr w:type="spellEnd"/>
      <w:r w:rsidR="00D5524A" w:rsidRPr="00257ACB">
        <w:rPr>
          <w:rFonts w:ascii="Times New Roman" w:hAnsi="Times New Roman" w:cs="Times New Roman"/>
          <w:sz w:val="26"/>
          <w:szCs w:val="26"/>
        </w:rPr>
        <w:t xml:space="preserve"> contractual relationship in the UK</w:t>
      </w:r>
    </w:p>
    <w:p w14:paraId="13F4BCBE" w14:textId="77777777" w:rsidR="00B22368" w:rsidRPr="00257ACB" w:rsidRDefault="00B22368" w:rsidP="00B22368">
      <w:pPr>
        <w:pStyle w:val="a3"/>
        <w:ind w:leftChars="0" w:left="1480"/>
        <w:rPr>
          <w:rFonts w:ascii="Times New Roman" w:hAnsi="Times New Roman" w:cs="Times New Roman"/>
          <w:sz w:val="26"/>
          <w:szCs w:val="26"/>
        </w:rPr>
      </w:pPr>
    </w:p>
    <w:p w14:paraId="5C9ABC0F" w14:textId="77CB43D1" w:rsidR="0012791B" w:rsidRPr="00257ACB" w:rsidRDefault="00136E2D" w:rsidP="00A835B4">
      <w:pPr>
        <w:pStyle w:val="a3"/>
        <w:rPr>
          <w:rFonts w:ascii="Times New Roman" w:hAnsi="Times New Roman" w:cs="Times New Roman"/>
          <w:sz w:val="26"/>
          <w:szCs w:val="26"/>
        </w:rPr>
      </w:pPr>
      <w:r w:rsidRPr="00257ACB">
        <w:rPr>
          <w:rFonts w:ascii="Times New Roman" w:hAnsi="Times New Roman" w:cs="Times New Roman"/>
          <w:sz w:val="26"/>
          <w:szCs w:val="26"/>
        </w:rPr>
        <w:t xml:space="preserve">Freedland and </w:t>
      </w:r>
      <w:proofErr w:type="spellStart"/>
      <w:r w:rsidRPr="00257ACB">
        <w:rPr>
          <w:rFonts w:ascii="Times New Roman" w:hAnsi="Times New Roman" w:cs="Times New Roman"/>
          <w:sz w:val="26"/>
          <w:szCs w:val="26"/>
        </w:rPr>
        <w:t>Kountouris</w:t>
      </w:r>
      <w:proofErr w:type="spellEnd"/>
      <w:r w:rsidRPr="00257ACB">
        <w:rPr>
          <w:rFonts w:ascii="Times New Roman" w:hAnsi="Times New Roman" w:cs="Times New Roman"/>
          <w:sz w:val="26"/>
          <w:szCs w:val="26"/>
        </w:rPr>
        <w:t xml:space="preserve"> have noted that there are major and </w:t>
      </w:r>
      <w:r w:rsidR="0092714C" w:rsidRPr="00257ACB">
        <w:rPr>
          <w:rFonts w:ascii="Times New Roman" w:hAnsi="Times New Roman" w:cs="Times New Roman"/>
          <w:sz w:val="26"/>
          <w:szCs w:val="26"/>
        </w:rPr>
        <w:t xml:space="preserve">continuing controversies in many European legal systems as to how </w:t>
      </w:r>
      <w:r w:rsidRPr="00257ACB">
        <w:rPr>
          <w:rFonts w:ascii="Times New Roman" w:hAnsi="Times New Roman" w:cs="Times New Roman"/>
          <w:sz w:val="26"/>
          <w:szCs w:val="26"/>
        </w:rPr>
        <w:t>[</w:t>
      </w:r>
      <w:r w:rsidR="0092714C" w:rsidRPr="00257ACB">
        <w:rPr>
          <w:rFonts w:ascii="Times New Roman" w:hAnsi="Times New Roman" w:cs="Times New Roman"/>
          <w:sz w:val="26"/>
          <w:szCs w:val="26"/>
        </w:rPr>
        <w:t>precarious work</w:t>
      </w:r>
      <w:r w:rsidRPr="00257ACB">
        <w:rPr>
          <w:rFonts w:ascii="Times New Roman" w:hAnsi="Times New Roman" w:cs="Times New Roman"/>
          <w:sz w:val="26"/>
          <w:szCs w:val="26"/>
        </w:rPr>
        <w:t>]</w:t>
      </w:r>
      <w:r w:rsidR="0092714C" w:rsidRPr="00257ACB">
        <w:rPr>
          <w:rFonts w:ascii="Times New Roman" w:hAnsi="Times New Roman" w:cs="Times New Roman"/>
          <w:sz w:val="26"/>
          <w:szCs w:val="26"/>
        </w:rPr>
        <w:t xml:space="preserve"> arrangements fit into existing legal relational categories</w:t>
      </w:r>
      <w:r w:rsidR="00D459D7" w:rsidRPr="00257ACB">
        <w:rPr>
          <w:rFonts w:ascii="Times New Roman" w:hAnsi="Times New Roman" w:cs="Times New Roman"/>
          <w:sz w:val="26"/>
          <w:szCs w:val="26"/>
        </w:rPr>
        <w:t xml:space="preserve"> which are the outcomes of processes of legal </w:t>
      </w:r>
      <w:r w:rsidR="00D459D7" w:rsidRPr="00257ACB">
        <w:rPr>
          <w:rFonts w:ascii="Times New Roman" w:hAnsi="Times New Roman" w:cs="Times New Roman"/>
          <w:sz w:val="26"/>
          <w:szCs w:val="26"/>
        </w:rPr>
        <w:lastRenderedPageBreak/>
        <w:t>normative characterization of personal work relations</w:t>
      </w:r>
      <w:r w:rsidRPr="00257ACB">
        <w:rPr>
          <w:rFonts w:ascii="Times New Roman" w:hAnsi="Times New Roman" w:cs="Times New Roman"/>
          <w:sz w:val="26"/>
          <w:szCs w:val="26"/>
        </w:rPr>
        <w:t>.</w:t>
      </w:r>
      <w:r w:rsidR="0083368E">
        <w:rPr>
          <w:rStyle w:val="ae"/>
          <w:rFonts w:ascii="Times New Roman" w:hAnsi="Times New Roman" w:cs="Times New Roman"/>
          <w:sz w:val="26"/>
          <w:szCs w:val="26"/>
        </w:rPr>
        <w:footnoteReference w:id="142"/>
      </w:r>
      <w:r w:rsidR="0012791B" w:rsidRPr="00257ACB">
        <w:rPr>
          <w:rFonts w:ascii="Times New Roman" w:hAnsi="Times New Roman" w:cs="Times New Roman"/>
          <w:sz w:val="26"/>
          <w:szCs w:val="26"/>
        </w:rPr>
        <w:t xml:space="preserve"> </w:t>
      </w:r>
      <w:r w:rsidR="006F326C" w:rsidRPr="00257ACB">
        <w:rPr>
          <w:rFonts w:ascii="Times New Roman" w:hAnsi="Times New Roman" w:cs="Times New Roman"/>
          <w:sz w:val="26"/>
          <w:szCs w:val="26"/>
        </w:rPr>
        <w:t>Even if the government did not give Zero-Hours Contracts the status of legal term, the governments asserted in 2013 that they are legal under domestic law and if they freely entered into, a zero hours contract is a legitimate form of contract between individual and employer.</w:t>
      </w:r>
      <w:r w:rsidR="0083368E">
        <w:rPr>
          <w:rStyle w:val="ae"/>
          <w:rFonts w:ascii="Times New Roman" w:hAnsi="Times New Roman" w:cs="Times New Roman"/>
          <w:sz w:val="26"/>
          <w:szCs w:val="26"/>
        </w:rPr>
        <w:footnoteReference w:id="143"/>
      </w:r>
      <w:r w:rsidR="001C407F" w:rsidRPr="00257ACB">
        <w:rPr>
          <w:rFonts w:ascii="Times New Roman" w:hAnsi="Times New Roman" w:cs="Times New Roman"/>
          <w:sz w:val="26"/>
          <w:szCs w:val="26"/>
        </w:rPr>
        <w:t xml:space="preserve"> </w:t>
      </w:r>
      <w:r w:rsidR="004D603F" w:rsidRPr="00257ACB">
        <w:rPr>
          <w:rFonts w:ascii="Times New Roman" w:hAnsi="Times New Roman" w:cs="Times New Roman"/>
          <w:sz w:val="26"/>
          <w:szCs w:val="26"/>
        </w:rPr>
        <w:t xml:space="preserve">However, </w:t>
      </w:r>
      <w:r w:rsidR="00EA071F" w:rsidRPr="00257ACB">
        <w:rPr>
          <w:rFonts w:ascii="Times New Roman" w:hAnsi="Times New Roman" w:cs="Times New Roman"/>
          <w:sz w:val="26"/>
          <w:szCs w:val="26"/>
        </w:rPr>
        <w:t>when it comes to the heterogeneity of Zero-Hours Contracts, this clear statement can be faced with considerable challenges to be simply agreed without further controversies. The limitations of freedom of contract found in doctrines such as illegality can be applied as to judgement of legality of those arrangements. The arrangements do not involve contracts involving the commission of a legal wrong</w:t>
      </w:r>
      <w:r w:rsidR="0083368E">
        <w:rPr>
          <w:rStyle w:val="ae"/>
          <w:rFonts w:ascii="Times New Roman" w:hAnsi="Times New Roman" w:cs="Times New Roman"/>
          <w:sz w:val="26"/>
          <w:szCs w:val="26"/>
        </w:rPr>
        <w:footnoteReference w:id="144"/>
      </w:r>
      <w:r w:rsidR="00EA071F" w:rsidRPr="00257ACB">
        <w:rPr>
          <w:rFonts w:ascii="Times New Roman" w:hAnsi="Times New Roman" w:cs="Times New Roman"/>
          <w:sz w:val="26"/>
          <w:szCs w:val="26"/>
        </w:rPr>
        <w:t>, or contracts contrary to public policy.</w:t>
      </w:r>
      <w:r w:rsidR="0083368E">
        <w:rPr>
          <w:rStyle w:val="ae"/>
          <w:rFonts w:ascii="Times New Roman" w:hAnsi="Times New Roman" w:cs="Times New Roman"/>
          <w:sz w:val="26"/>
          <w:szCs w:val="26"/>
        </w:rPr>
        <w:footnoteReference w:id="145"/>
      </w:r>
      <w:r w:rsidR="00300430" w:rsidRPr="00257ACB">
        <w:rPr>
          <w:rFonts w:ascii="Times New Roman" w:hAnsi="Times New Roman" w:cs="Times New Roman"/>
          <w:sz w:val="26"/>
          <w:szCs w:val="26"/>
        </w:rPr>
        <w:t xml:space="preserve"> As mentioned above, it </w:t>
      </w:r>
      <w:r w:rsidR="000D1F29" w:rsidRPr="00257ACB">
        <w:rPr>
          <w:rFonts w:ascii="Times New Roman" w:hAnsi="Times New Roman" w:cs="Times New Roman"/>
          <w:sz w:val="26"/>
          <w:szCs w:val="26"/>
        </w:rPr>
        <w:t>should be</w:t>
      </w:r>
      <w:r w:rsidR="005E79EE" w:rsidRPr="00257ACB">
        <w:rPr>
          <w:rFonts w:ascii="Times New Roman" w:hAnsi="Times New Roman" w:cs="Times New Roman"/>
          <w:sz w:val="26"/>
          <w:szCs w:val="26"/>
        </w:rPr>
        <w:t xml:space="preserve"> noted</w:t>
      </w:r>
      <w:r w:rsidR="000D1F29" w:rsidRPr="00257ACB">
        <w:rPr>
          <w:rFonts w:ascii="Times New Roman" w:hAnsi="Times New Roman" w:cs="Times New Roman"/>
          <w:sz w:val="26"/>
          <w:szCs w:val="26"/>
        </w:rPr>
        <w:t xml:space="preserve"> that</w:t>
      </w:r>
      <w:r w:rsidR="004F04C4" w:rsidRPr="00257ACB">
        <w:rPr>
          <w:rFonts w:ascii="Times New Roman" w:hAnsi="Times New Roman" w:cs="Times New Roman"/>
          <w:sz w:val="26"/>
          <w:szCs w:val="26"/>
        </w:rPr>
        <w:t xml:space="preserve"> they represent a wide spectrum of contracts, not a singular form of contract.</w:t>
      </w:r>
      <w:r w:rsidR="00B16F26" w:rsidRPr="00257ACB">
        <w:rPr>
          <w:rFonts w:ascii="Times New Roman" w:hAnsi="Times New Roman" w:cs="Times New Roman"/>
          <w:sz w:val="26"/>
          <w:szCs w:val="26"/>
        </w:rPr>
        <w:t xml:space="preserve"> </w:t>
      </w:r>
    </w:p>
    <w:p w14:paraId="0588B1AB" w14:textId="489409C7" w:rsidR="00B22368" w:rsidRPr="00257ACB" w:rsidRDefault="00DE618E" w:rsidP="00A835B4">
      <w:pPr>
        <w:pStyle w:val="a3"/>
        <w:rPr>
          <w:rFonts w:ascii="Times New Roman" w:hAnsi="Times New Roman" w:cs="Times New Roman"/>
          <w:sz w:val="26"/>
          <w:szCs w:val="26"/>
        </w:rPr>
      </w:pPr>
      <w:r w:rsidRPr="00257ACB">
        <w:rPr>
          <w:rFonts w:ascii="Times New Roman" w:hAnsi="Times New Roman" w:cs="Times New Roman"/>
          <w:sz w:val="26"/>
          <w:szCs w:val="26"/>
        </w:rPr>
        <w:t>The legal institution of the contract is central to English employment law.</w:t>
      </w:r>
      <w:r w:rsidR="0083368E">
        <w:rPr>
          <w:rStyle w:val="ae"/>
          <w:rFonts w:ascii="Times New Roman" w:hAnsi="Times New Roman" w:cs="Times New Roman"/>
          <w:sz w:val="26"/>
          <w:szCs w:val="26"/>
        </w:rPr>
        <w:footnoteReference w:id="146"/>
      </w:r>
      <w:r w:rsidRPr="00257ACB">
        <w:rPr>
          <w:rFonts w:ascii="Times New Roman" w:hAnsi="Times New Roman" w:cs="Times New Roman"/>
          <w:sz w:val="26"/>
          <w:szCs w:val="26"/>
        </w:rPr>
        <w:t xml:space="preserve"> </w:t>
      </w:r>
      <w:r w:rsidR="00067D7E" w:rsidRPr="00257ACB">
        <w:rPr>
          <w:rFonts w:ascii="Times New Roman" w:hAnsi="Times New Roman" w:cs="Times New Roman"/>
          <w:sz w:val="26"/>
          <w:szCs w:val="26"/>
        </w:rPr>
        <w:t>While</w:t>
      </w:r>
      <w:r w:rsidRPr="00257ACB">
        <w:rPr>
          <w:rFonts w:ascii="Times New Roman" w:hAnsi="Times New Roman" w:cs="Times New Roman"/>
          <w:sz w:val="26"/>
          <w:szCs w:val="26"/>
        </w:rPr>
        <w:t xml:space="preserve"> there has been the dramatic increase of legislative activity in the </w:t>
      </w:r>
      <w:proofErr w:type="spellStart"/>
      <w:r w:rsidRPr="00257ACB">
        <w:rPr>
          <w:rFonts w:ascii="Times New Roman" w:hAnsi="Times New Roman" w:cs="Times New Roman"/>
          <w:sz w:val="26"/>
          <w:szCs w:val="26"/>
        </w:rPr>
        <w:t>labour</w:t>
      </w:r>
      <w:proofErr w:type="spellEnd"/>
      <w:r w:rsidRPr="00257ACB">
        <w:rPr>
          <w:rFonts w:ascii="Times New Roman" w:hAnsi="Times New Roman" w:cs="Times New Roman"/>
          <w:sz w:val="26"/>
          <w:szCs w:val="26"/>
        </w:rPr>
        <w:t xml:space="preserve"> market since the second half of the twentieth century,</w:t>
      </w:r>
      <w:r w:rsidR="0083368E">
        <w:rPr>
          <w:rStyle w:val="ae"/>
          <w:rFonts w:ascii="Times New Roman" w:hAnsi="Times New Roman" w:cs="Times New Roman"/>
          <w:sz w:val="26"/>
          <w:szCs w:val="26"/>
        </w:rPr>
        <w:footnoteReference w:id="147"/>
      </w:r>
      <w:r w:rsidRPr="00257ACB">
        <w:rPr>
          <w:rFonts w:ascii="Times New Roman" w:hAnsi="Times New Roman" w:cs="Times New Roman"/>
          <w:sz w:val="26"/>
          <w:szCs w:val="26"/>
        </w:rPr>
        <w:t xml:space="preserve"> </w:t>
      </w:r>
      <w:r w:rsidR="00170F9A" w:rsidRPr="00257ACB">
        <w:rPr>
          <w:rFonts w:ascii="Times New Roman" w:hAnsi="Times New Roman" w:cs="Times New Roman"/>
          <w:sz w:val="26"/>
          <w:szCs w:val="26"/>
        </w:rPr>
        <w:t xml:space="preserve">contract has become the key legal relationship which </w:t>
      </w:r>
      <w:r w:rsidRPr="00257ACB">
        <w:rPr>
          <w:rFonts w:ascii="Times New Roman" w:hAnsi="Times New Roman" w:cs="Times New Roman"/>
          <w:sz w:val="26"/>
          <w:szCs w:val="26"/>
        </w:rPr>
        <w:t>confers an externally defined employment status on its parties.</w:t>
      </w:r>
      <w:r w:rsidR="0083368E">
        <w:rPr>
          <w:rStyle w:val="ae"/>
          <w:rFonts w:ascii="Times New Roman" w:hAnsi="Times New Roman" w:cs="Times New Roman"/>
          <w:sz w:val="26"/>
          <w:szCs w:val="26"/>
        </w:rPr>
        <w:footnoteReference w:id="148"/>
      </w:r>
      <w:r w:rsidR="00C76C88" w:rsidRPr="00257ACB">
        <w:rPr>
          <w:rFonts w:ascii="Times New Roman" w:hAnsi="Times New Roman" w:cs="Times New Roman"/>
          <w:sz w:val="26"/>
          <w:szCs w:val="26"/>
        </w:rPr>
        <w:t xml:space="preserve"> This role of contract as a gateway to statutory rights and duties is illustrated in the interpretative provisions of the Employment Rights Act 1996, which simply provide that </w:t>
      </w:r>
      <w:r w:rsidR="00D5524A" w:rsidRPr="00257ACB">
        <w:rPr>
          <w:rFonts w:ascii="Times New Roman" w:hAnsi="Times New Roman" w:cs="Times New Roman"/>
          <w:sz w:val="26"/>
          <w:szCs w:val="26"/>
        </w:rPr>
        <w:t>‘”</w:t>
      </w:r>
      <w:r w:rsidR="00C76C88" w:rsidRPr="00257ACB">
        <w:rPr>
          <w:rFonts w:ascii="Times New Roman" w:hAnsi="Times New Roman" w:cs="Times New Roman"/>
          <w:sz w:val="26"/>
          <w:szCs w:val="26"/>
        </w:rPr>
        <w:t>employee” means an individual who has entered into or works under […] a contract of employment.’</w:t>
      </w:r>
      <w:r w:rsidR="0083368E">
        <w:rPr>
          <w:rStyle w:val="ae"/>
          <w:rFonts w:ascii="Times New Roman" w:hAnsi="Times New Roman" w:cs="Times New Roman"/>
          <w:sz w:val="26"/>
          <w:szCs w:val="26"/>
        </w:rPr>
        <w:footnoteReference w:id="149"/>
      </w:r>
      <w:r w:rsidR="00C76C88" w:rsidRPr="00257ACB">
        <w:rPr>
          <w:rFonts w:ascii="Times New Roman" w:hAnsi="Times New Roman" w:cs="Times New Roman"/>
          <w:sz w:val="26"/>
          <w:szCs w:val="26"/>
        </w:rPr>
        <w:t xml:space="preserve"> </w:t>
      </w:r>
      <w:r w:rsidR="00021849" w:rsidRPr="00257ACB">
        <w:rPr>
          <w:rFonts w:ascii="Times New Roman" w:hAnsi="Times New Roman" w:cs="Times New Roman"/>
          <w:sz w:val="26"/>
          <w:szCs w:val="26"/>
        </w:rPr>
        <w:t xml:space="preserve"> Thus, major parts of</w:t>
      </w:r>
      <w:r w:rsidR="003E1FAE" w:rsidRPr="00257ACB">
        <w:rPr>
          <w:rFonts w:ascii="Times New Roman" w:hAnsi="Times New Roman" w:cs="Times New Roman"/>
          <w:sz w:val="26"/>
          <w:szCs w:val="26"/>
        </w:rPr>
        <w:t xml:space="preserve"> the British system of </w:t>
      </w:r>
      <w:proofErr w:type="spellStart"/>
      <w:r w:rsidR="003E1FAE" w:rsidRPr="00257ACB">
        <w:rPr>
          <w:rFonts w:ascii="Times New Roman" w:hAnsi="Times New Roman" w:cs="Times New Roman"/>
          <w:sz w:val="26"/>
          <w:szCs w:val="26"/>
        </w:rPr>
        <w:t>labour</w:t>
      </w:r>
      <w:proofErr w:type="spellEnd"/>
      <w:r w:rsidR="003E1FAE" w:rsidRPr="00257ACB">
        <w:rPr>
          <w:rFonts w:ascii="Times New Roman" w:hAnsi="Times New Roman" w:cs="Times New Roman"/>
          <w:sz w:val="26"/>
          <w:szCs w:val="26"/>
        </w:rPr>
        <w:t xml:space="preserve"> market </w:t>
      </w:r>
      <w:r w:rsidR="003E1FAE" w:rsidRPr="00257ACB">
        <w:rPr>
          <w:rFonts w:ascii="Times New Roman" w:hAnsi="Times New Roman" w:cs="Times New Roman"/>
          <w:sz w:val="26"/>
          <w:szCs w:val="26"/>
        </w:rPr>
        <w:lastRenderedPageBreak/>
        <w:t xml:space="preserve">regulation are </w:t>
      </w:r>
      <w:r w:rsidR="00021849" w:rsidRPr="00257ACB">
        <w:rPr>
          <w:rFonts w:ascii="Times New Roman" w:hAnsi="Times New Roman" w:cs="Times New Roman"/>
          <w:sz w:val="26"/>
          <w:szCs w:val="26"/>
        </w:rPr>
        <w:t>set up to</w:t>
      </w:r>
      <w:r w:rsidR="003E1FAE" w:rsidRPr="00257ACB">
        <w:rPr>
          <w:rFonts w:ascii="Times New Roman" w:hAnsi="Times New Roman" w:cs="Times New Roman"/>
          <w:sz w:val="26"/>
          <w:szCs w:val="26"/>
        </w:rPr>
        <w:t xml:space="preserve"> hinge on this status, the definition of which is left to the common law.</w:t>
      </w:r>
      <w:r w:rsidR="0083368E">
        <w:rPr>
          <w:rStyle w:val="ae"/>
          <w:rFonts w:ascii="Times New Roman" w:hAnsi="Times New Roman" w:cs="Times New Roman"/>
          <w:sz w:val="26"/>
          <w:szCs w:val="26"/>
        </w:rPr>
        <w:footnoteReference w:id="150"/>
      </w:r>
      <w:r w:rsidR="00CD6A98" w:rsidRPr="00257ACB">
        <w:rPr>
          <w:rFonts w:ascii="Times New Roman" w:hAnsi="Times New Roman" w:cs="Times New Roman"/>
          <w:sz w:val="26"/>
          <w:szCs w:val="26"/>
        </w:rPr>
        <w:t xml:space="preserve"> The same is true for the more recent notion of the worker</w:t>
      </w:r>
      <w:r w:rsidR="00021849" w:rsidRPr="00257ACB">
        <w:rPr>
          <w:rFonts w:ascii="Times New Roman" w:hAnsi="Times New Roman" w:cs="Times New Roman"/>
          <w:sz w:val="26"/>
          <w:szCs w:val="26"/>
        </w:rPr>
        <w:t>.</w:t>
      </w:r>
      <w:r w:rsidR="0083368E">
        <w:rPr>
          <w:rStyle w:val="ae"/>
          <w:rFonts w:ascii="Times New Roman" w:hAnsi="Times New Roman" w:cs="Times New Roman"/>
          <w:sz w:val="26"/>
          <w:szCs w:val="26"/>
        </w:rPr>
        <w:footnoteReference w:id="151"/>
      </w:r>
      <w:r w:rsidR="005054FA" w:rsidRPr="00257ACB">
        <w:rPr>
          <w:rFonts w:ascii="Times New Roman" w:hAnsi="Times New Roman" w:cs="Times New Roman"/>
          <w:sz w:val="26"/>
          <w:szCs w:val="26"/>
        </w:rPr>
        <w:t xml:space="preserve"> </w:t>
      </w:r>
      <w:r w:rsidR="00FC6C65" w:rsidRPr="00257ACB">
        <w:rPr>
          <w:rFonts w:ascii="Times New Roman" w:hAnsi="Times New Roman" w:cs="Times New Roman"/>
          <w:sz w:val="26"/>
          <w:szCs w:val="26"/>
        </w:rPr>
        <w:t>Through more than a century, a</w:t>
      </w:r>
      <w:r w:rsidR="0087746B" w:rsidRPr="00257ACB">
        <w:rPr>
          <w:rFonts w:ascii="Times New Roman" w:hAnsi="Times New Roman" w:cs="Times New Roman"/>
          <w:sz w:val="26"/>
          <w:szCs w:val="26"/>
        </w:rPr>
        <w:t xml:space="preserve"> considerable amount of case law and scholarship has built up to develop, adapt and refine a series of common law tests to determine on which side of the ‘binary divide’ or the more recent tri-partite scheme of employees, workers and the self-employment any given individual should fall.</w:t>
      </w:r>
      <w:r w:rsidR="0083368E">
        <w:rPr>
          <w:rStyle w:val="ae"/>
          <w:rFonts w:ascii="Times New Roman" w:hAnsi="Times New Roman" w:cs="Times New Roman"/>
          <w:sz w:val="26"/>
          <w:szCs w:val="26"/>
        </w:rPr>
        <w:footnoteReference w:id="152"/>
      </w:r>
      <w:r w:rsidR="003E5AAA" w:rsidRPr="00257ACB">
        <w:rPr>
          <w:rFonts w:ascii="Times New Roman" w:hAnsi="Times New Roman" w:cs="Times New Roman"/>
          <w:sz w:val="26"/>
          <w:szCs w:val="26"/>
        </w:rPr>
        <w:t xml:space="preserve"> </w:t>
      </w:r>
      <w:r w:rsidR="00FF44EE" w:rsidRPr="00257ACB">
        <w:rPr>
          <w:rFonts w:ascii="Times New Roman" w:hAnsi="Times New Roman" w:cs="Times New Roman"/>
          <w:sz w:val="26"/>
          <w:szCs w:val="26"/>
        </w:rPr>
        <w:t>Zero-Hours arrangements can lead to a serious of different classifications and thus different degrees of statutory protection under t</w:t>
      </w:r>
      <w:r w:rsidR="003E5AAA" w:rsidRPr="00257ACB">
        <w:rPr>
          <w:rFonts w:ascii="Times New Roman" w:hAnsi="Times New Roman" w:cs="Times New Roman"/>
          <w:sz w:val="26"/>
          <w:szCs w:val="26"/>
        </w:rPr>
        <w:t>he prevailing common law tests</w:t>
      </w:r>
      <w:r w:rsidR="00A00CBE" w:rsidRPr="00257ACB">
        <w:rPr>
          <w:rFonts w:ascii="Times New Roman" w:hAnsi="Times New Roman" w:cs="Times New Roman"/>
          <w:sz w:val="26"/>
          <w:szCs w:val="26"/>
        </w:rPr>
        <w:t xml:space="preserve">. In this case, </w:t>
      </w:r>
      <w:r w:rsidR="00FF44EE" w:rsidRPr="00257ACB">
        <w:rPr>
          <w:rFonts w:ascii="Times New Roman" w:hAnsi="Times New Roman" w:cs="Times New Roman"/>
          <w:sz w:val="26"/>
          <w:szCs w:val="26"/>
        </w:rPr>
        <w:t>c</w:t>
      </w:r>
      <w:r w:rsidR="003E5AAA" w:rsidRPr="00257ACB">
        <w:rPr>
          <w:rFonts w:ascii="Times New Roman" w:hAnsi="Times New Roman" w:cs="Times New Roman"/>
          <w:sz w:val="26"/>
          <w:szCs w:val="26"/>
        </w:rPr>
        <w:t>ertain</w:t>
      </w:r>
      <w:r w:rsidR="00342D7A" w:rsidRPr="00257ACB">
        <w:rPr>
          <w:rFonts w:ascii="Times New Roman" w:hAnsi="Times New Roman" w:cs="Times New Roman"/>
          <w:sz w:val="26"/>
          <w:szCs w:val="26"/>
        </w:rPr>
        <w:t xml:space="preserve"> cases</w:t>
      </w:r>
      <w:r w:rsidR="003E5AAA" w:rsidRPr="00257ACB">
        <w:rPr>
          <w:rFonts w:ascii="Times New Roman" w:hAnsi="Times New Roman" w:cs="Times New Roman"/>
          <w:sz w:val="26"/>
          <w:szCs w:val="26"/>
        </w:rPr>
        <w:t xml:space="preserve"> </w:t>
      </w:r>
      <w:r w:rsidR="00FF44EE" w:rsidRPr="00257ACB">
        <w:rPr>
          <w:rFonts w:ascii="Times New Roman" w:hAnsi="Times New Roman" w:cs="Times New Roman"/>
          <w:sz w:val="26"/>
          <w:szCs w:val="26"/>
        </w:rPr>
        <w:t xml:space="preserve">could fall completely outside the scope of </w:t>
      </w:r>
      <w:r w:rsidR="003E5AAA" w:rsidRPr="00257ACB">
        <w:rPr>
          <w:rFonts w:ascii="Times New Roman" w:hAnsi="Times New Roman" w:cs="Times New Roman"/>
          <w:sz w:val="26"/>
          <w:szCs w:val="26"/>
        </w:rPr>
        <w:t>employment protective</w:t>
      </w:r>
      <w:r w:rsidR="00FF44EE" w:rsidRPr="00257ACB">
        <w:rPr>
          <w:rFonts w:ascii="Times New Roman" w:hAnsi="Times New Roman" w:cs="Times New Roman"/>
          <w:sz w:val="26"/>
          <w:szCs w:val="26"/>
        </w:rPr>
        <w:t xml:space="preserve"> norms.</w:t>
      </w:r>
      <w:r w:rsidR="0083368E">
        <w:rPr>
          <w:rStyle w:val="ae"/>
          <w:rFonts w:ascii="Times New Roman" w:hAnsi="Times New Roman" w:cs="Times New Roman"/>
          <w:sz w:val="26"/>
          <w:szCs w:val="26"/>
        </w:rPr>
        <w:footnoteReference w:id="153"/>
      </w:r>
      <w:r w:rsidR="00D558B6" w:rsidRPr="00257ACB">
        <w:rPr>
          <w:rFonts w:ascii="Times New Roman" w:hAnsi="Times New Roman" w:cs="Times New Roman"/>
          <w:sz w:val="26"/>
          <w:szCs w:val="26"/>
        </w:rPr>
        <w:t xml:space="preserve"> The primary reason behind</w:t>
      </w:r>
      <w:r w:rsidR="00E902B1" w:rsidRPr="00257ACB">
        <w:rPr>
          <w:rFonts w:ascii="Times New Roman" w:hAnsi="Times New Roman" w:cs="Times New Roman"/>
          <w:sz w:val="26"/>
          <w:szCs w:val="26"/>
        </w:rPr>
        <w:t xml:space="preserve"> this is the role played by the requirement of mutuality of obligation.</w:t>
      </w:r>
      <w:r w:rsidR="0083368E">
        <w:rPr>
          <w:rStyle w:val="ae"/>
          <w:rFonts w:ascii="Times New Roman" w:hAnsi="Times New Roman" w:cs="Times New Roman"/>
          <w:sz w:val="26"/>
          <w:szCs w:val="26"/>
        </w:rPr>
        <w:footnoteReference w:id="154"/>
      </w:r>
      <w:r w:rsidR="00FC4B3F" w:rsidRPr="00257ACB">
        <w:rPr>
          <w:rFonts w:ascii="Times New Roman" w:hAnsi="Times New Roman" w:cs="Times New Roman"/>
          <w:sz w:val="26"/>
          <w:szCs w:val="26"/>
        </w:rPr>
        <w:t xml:space="preserve"> </w:t>
      </w:r>
      <w:r w:rsidR="001024A7" w:rsidRPr="00257ACB">
        <w:rPr>
          <w:rFonts w:ascii="Times New Roman" w:hAnsi="Times New Roman" w:cs="Times New Roman"/>
          <w:sz w:val="26"/>
          <w:szCs w:val="26"/>
        </w:rPr>
        <w:t xml:space="preserve">In </w:t>
      </w:r>
      <w:proofErr w:type="spellStart"/>
      <w:r w:rsidR="001024A7" w:rsidRPr="00257ACB">
        <w:rPr>
          <w:rFonts w:ascii="Times New Roman" w:hAnsi="Times New Roman" w:cs="Times New Roman"/>
          <w:sz w:val="26"/>
          <w:szCs w:val="26"/>
        </w:rPr>
        <w:t>Nethermere</w:t>
      </w:r>
      <w:proofErr w:type="spellEnd"/>
      <w:r w:rsidR="001024A7" w:rsidRPr="00257ACB">
        <w:rPr>
          <w:rFonts w:ascii="Times New Roman" w:hAnsi="Times New Roman" w:cs="Times New Roman"/>
          <w:sz w:val="26"/>
          <w:szCs w:val="26"/>
        </w:rPr>
        <w:t xml:space="preserve"> v Gardiner, Dillon LJ summarized earlier case law and suggested</w:t>
      </w:r>
      <w:r w:rsidR="0080285E" w:rsidRPr="00257ACB">
        <w:rPr>
          <w:rFonts w:ascii="Times New Roman" w:hAnsi="Times New Roman" w:cs="Times New Roman"/>
          <w:sz w:val="26"/>
          <w:szCs w:val="26"/>
        </w:rPr>
        <w:t>,</w:t>
      </w:r>
      <w:r w:rsidR="005E09F3" w:rsidRPr="00257ACB">
        <w:rPr>
          <w:rFonts w:ascii="Times New Roman" w:hAnsi="Times New Roman" w:cs="Times New Roman"/>
          <w:sz w:val="26"/>
          <w:szCs w:val="26"/>
        </w:rPr>
        <w:t xml:space="preserve"> </w:t>
      </w:r>
    </w:p>
    <w:p w14:paraId="1DE93B69" w14:textId="4170D783" w:rsidR="00207916" w:rsidRPr="00257ACB" w:rsidRDefault="00F7570C" w:rsidP="00B84C9B">
      <w:pPr>
        <w:pStyle w:val="a3"/>
        <w:ind w:leftChars="500" w:left="1000"/>
        <w:rPr>
          <w:rFonts w:ascii="Times New Roman" w:hAnsi="Times New Roman" w:cs="Times New Roman"/>
          <w:sz w:val="26"/>
          <w:szCs w:val="26"/>
        </w:rPr>
      </w:pPr>
      <w:r w:rsidRPr="00257ACB">
        <w:rPr>
          <w:rFonts w:ascii="Times New Roman" w:hAnsi="Times New Roman" w:cs="Times New Roman"/>
          <w:sz w:val="26"/>
          <w:szCs w:val="26"/>
        </w:rPr>
        <w:t xml:space="preserve">That there is one </w:t>
      </w:r>
      <w:r w:rsidRPr="00257ACB">
        <w:rPr>
          <w:rFonts w:ascii="Times New Roman" w:hAnsi="Times New Roman" w:cs="Times New Roman"/>
          <w:i/>
          <w:sz w:val="26"/>
          <w:szCs w:val="26"/>
        </w:rPr>
        <w:t xml:space="preserve">sine quo </w:t>
      </w:r>
      <w:proofErr w:type="gramStart"/>
      <w:r w:rsidRPr="00257ACB">
        <w:rPr>
          <w:rFonts w:ascii="Times New Roman" w:hAnsi="Times New Roman" w:cs="Times New Roman"/>
          <w:i/>
          <w:sz w:val="26"/>
          <w:szCs w:val="26"/>
        </w:rPr>
        <w:t>non</w:t>
      </w:r>
      <w:r w:rsidRPr="00257ACB">
        <w:rPr>
          <w:rFonts w:ascii="Times New Roman" w:hAnsi="Times New Roman" w:cs="Times New Roman"/>
          <w:sz w:val="26"/>
          <w:szCs w:val="26"/>
        </w:rPr>
        <w:t xml:space="preserve"> which</w:t>
      </w:r>
      <w:proofErr w:type="gramEnd"/>
      <w:r w:rsidRPr="00257ACB">
        <w:rPr>
          <w:rFonts w:ascii="Times New Roman" w:hAnsi="Times New Roman" w:cs="Times New Roman"/>
          <w:sz w:val="26"/>
          <w:szCs w:val="26"/>
        </w:rPr>
        <w:t xml:space="preserve"> can firmly be identified as an essential of the existence of a contract of service and that is that there must be mutual obligations on the </w:t>
      </w:r>
      <w:r w:rsidR="008C249B" w:rsidRPr="00257ACB">
        <w:rPr>
          <w:rFonts w:ascii="Times New Roman" w:hAnsi="Times New Roman" w:cs="Times New Roman"/>
          <w:sz w:val="26"/>
          <w:szCs w:val="26"/>
        </w:rPr>
        <w:t>employer to provide</w:t>
      </w:r>
      <w:r w:rsidR="00207916" w:rsidRPr="00257ACB">
        <w:rPr>
          <w:rFonts w:ascii="Times New Roman" w:hAnsi="Times New Roman" w:cs="Times New Roman"/>
          <w:sz w:val="26"/>
          <w:szCs w:val="26"/>
        </w:rPr>
        <w:t xml:space="preserve"> work for the employee and on the employee to perform work for the employer. If such mutuality is not present, then either there is no contract at all or whatever contract there is must be a contract for services or something else, but not a contract of service.</w:t>
      </w:r>
      <w:r w:rsidR="0083368E">
        <w:rPr>
          <w:rStyle w:val="ae"/>
          <w:rFonts w:ascii="Times New Roman" w:hAnsi="Times New Roman" w:cs="Times New Roman"/>
          <w:sz w:val="26"/>
          <w:szCs w:val="26"/>
        </w:rPr>
        <w:footnoteReference w:id="155"/>
      </w:r>
      <w:r w:rsidR="00501FA0" w:rsidRPr="00257ACB">
        <w:rPr>
          <w:rFonts w:ascii="Times New Roman" w:hAnsi="Times New Roman" w:cs="Times New Roman"/>
          <w:sz w:val="26"/>
          <w:szCs w:val="26"/>
        </w:rPr>
        <w:t xml:space="preserve"> </w:t>
      </w:r>
      <w:r w:rsidR="00B84C9B" w:rsidRPr="00257ACB">
        <w:rPr>
          <w:rFonts w:ascii="Times New Roman" w:hAnsi="Times New Roman" w:cs="Times New Roman"/>
          <w:sz w:val="26"/>
          <w:szCs w:val="26"/>
        </w:rPr>
        <w:t xml:space="preserve">It </w:t>
      </w:r>
      <w:r w:rsidR="0045487E" w:rsidRPr="00257ACB">
        <w:rPr>
          <w:rFonts w:ascii="Times New Roman" w:hAnsi="Times New Roman" w:cs="Times New Roman"/>
          <w:sz w:val="26"/>
          <w:szCs w:val="26"/>
        </w:rPr>
        <w:t xml:space="preserve">is </w:t>
      </w:r>
      <w:r w:rsidR="00A6559C" w:rsidRPr="00257ACB">
        <w:rPr>
          <w:rFonts w:ascii="Times New Roman" w:hAnsi="Times New Roman" w:cs="Times New Roman"/>
          <w:sz w:val="26"/>
          <w:szCs w:val="26"/>
        </w:rPr>
        <w:t>often</w:t>
      </w:r>
      <w:r w:rsidR="008E2F54" w:rsidRPr="00257ACB">
        <w:rPr>
          <w:rFonts w:ascii="Times New Roman" w:hAnsi="Times New Roman" w:cs="Times New Roman"/>
          <w:sz w:val="26"/>
          <w:szCs w:val="26"/>
        </w:rPr>
        <w:t xml:space="preserve"> assumed that the requirement of mutuality of obligation has become a significant hurdle in establishing such a relationship, either by denying a ‘global’ or ‘umbrella’ contract necessary to clear statutory temporal qualification thresholds, or by attacking the very classification of the work undertaken as employment due to the absence of future commitments.</w:t>
      </w:r>
      <w:r w:rsidR="0083368E">
        <w:rPr>
          <w:rStyle w:val="ae"/>
          <w:rFonts w:ascii="Times New Roman" w:hAnsi="Times New Roman" w:cs="Times New Roman"/>
          <w:sz w:val="26"/>
          <w:szCs w:val="26"/>
        </w:rPr>
        <w:footnoteReference w:id="156"/>
      </w:r>
      <w:r w:rsidR="00045668" w:rsidRPr="00257ACB">
        <w:rPr>
          <w:rFonts w:ascii="Times New Roman" w:hAnsi="Times New Roman" w:cs="Times New Roman"/>
          <w:sz w:val="26"/>
          <w:szCs w:val="26"/>
        </w:rPr>
        <w:t xml:space="preserve"> This is </w:t>
      </w:r>
      <w:r w:rsidR="00045668" w:rsidRPr="00257ACB">
        <w:rPr>
          <w:rFonts w:ascii="Times New Roman" w:hAnsi="Times New Roman" w:cs="Times New Roman"/>
          <w:sz w:val="26"/>
          <w:szCs w:val="26"/>
        </w:rPr>
        <w:lastRenderedPageBreak/>
        <w:t xml:space="preserve">usually illustrated by reference to two leading cases, </w:t>
      </w:r>
      <w:r w:rsidR="00045668" w:rsidRPr="00257ACB">
        <w:rPr>
          <w:rFonts w:ascii="Times New Roman" w:hAnsi="Times New Roman" w:cs="Times New Roman"/>
          <w:i/>
          <w:sz w:val="26"/>
          <w:szCs w:val="26"/>
        </w:rPr>
        <w:t>O’Kelly</w:t>
      </w:r>
      <w:r w:rsidR="00045668" w:rsidRPr="00257ACB">
        <w:rPr>
          <w:rFonts w:ascii="Times New Roman" w:hAnsi="Times New Roman" w:cs="Times New Roman"/>
          <w:sz w:val="26"/>
          <w:szCs w:val="26"/>
        </w:rPr>
        <w:t xml:space="preserve"> and </w:t>
      </w:r>
      <w:r w:rsidR="00045668" w:rsidRPr="00257ACB">
        <w:rPr>
          <w:rFonts w:ascii="Times New Roman" w:hAnsi="Times New Roman" w:cs="Times New Roman"/>
          <w:i/>
          <w:sz w:val="26"/>
          <w:szCs w:val="26"/>
        </w:rPr>
        <w:t>Carmichael</w:t>
      </w:r>
      <w:r w:rsidR="00045668" w:rsidRPr="00257ACB">
        <w:rPr>
          <w:rFonts w:ascii="Times New Roman" w:hAnsi="Times New Roman" w:cs="Times New Roman"/>
          <w:sz w:val="26"/>
          <w:szCs w:val="26"/>
        </w:rPr>
        <w:t>.</w:t>
      </w:r>
      <w:r w:rsidR="004662A0" w:rsidRPr="00257ACB">
        <w:rPr>
          <w:rFonts w:ascii="Times New Roman" w:hAnsi="Times New Roman" w:cs="Times New Roman"/>
          <w:sz w:val="26"/>
          <w:szCs w:val="26"/>
        </w:rPr>
        <w:t xml:space="preserve"> In O’Kelly</w:t>
      </w:r>
      <w:r w:rsidR="0083368E">
        <w:rPr>
          <w:rStyle w:val="ae"/>
          <w:rFonts w:ascii="Times New Roman" w:hAnsi="Times New Roman" w:cs="Times New Roman"/>
          <w:sz w:val="26"/>
          <w:szCs w:val="26"/>
        </w:rPr>
        <w:footnoteReference w:id="157"/>
      </w:r>
      <w:r w:rsidR="004662A0" w:rsidRPr="00257ACB">
        <w:rPr>
          <w:rFonts w:ascii="Times New Roman" w:hAnsi="Times New Roman" w:cs="Times New Roman"/>
          <w:sz w:val="26"/>
          <w:szCs w:val="26"/>
        </w:rPr>
        <w:t>, function waiters at the Grosvenor House Hotel employed under a rostering system as ‘regular casuals’ claimed for unfair dismissal due to their trade union membership and activities. Despite evidence that they had worked ‘virtually every week [...for] up to as much as 57’ hours, the Court of Appeal found that there was ‘no overall or umbrella contract’ of employment,</w:t>
      </w:r>
      <w:r w:rsidR="0083368E">
        <w:rPr>
          <w:rStyle w:val="ae"/>
          <w:rFonts w:ascii="Times New Roman" w:hAnsi="Times New Roman" w:cs="Times New Roman"/>
          <w:sz w:val="26"/>
          <w:szCs w:val="26"/>
        </w:rPr>
        <w:footnoteReference w:id="158"/>
      </w:r>
      <w:r w:rsidR="004662A0" w:rsidRPr="00257ACB">
        <w:rPr>
          <w:rFonts w:ascii="Times New Roman" w:hAnsi="Times New Roman" w:cs="Times New Roman"/>
          <w:sz w:val="26"/>
          <w:szCs w:val="26"/>
        </w:rPr>
        <w:t xml:space="preserve"> </w:t>
      </w:r>
      <w:proofErr w:type="gramStart"/>
      <w:r w:rsidR="004662A0" w:rsidRPr="00257ACB">
        <w:rPr>
          <w:rFonts w:ascii="Times New Roman" w:hAnsi="Times New Roman" w:cs="Times New Roman"/>
          <w:sz w:val="26"/>
          <w:szCs w:val="26"/>
        </w:rPr>
        <w:t xml:space="preserve">and </w:t>
      </w:r>
      <w:r w:rsidR="00D87118" w:rsidRPr="00257ACB">
        <w:rPr>
          <w:rFonts w:ascii="Times New Roman" w:hAnsi="Times New Roman" w:cs="Times New Roman"/>
          <w:sz w:val="26"/>
          <w:szCs w:val="26"/>
        </w:rPr>
        <w:t>also</w:t>
      </w:r>
      <w:proofErr w:type="gramEnd"/>
      <w:r w:rsidR="00D87118" w:rsidRPr="00257ACB">
        <w:rPr>
          <w:rFonts w:ascii="Times New Roman" w:hAnsi="Times New Roman" w:cs="Times New Roman"/>
          <w:sz w:val="26"/>
          <w:szCs w:val="26"/>
        </w:rPr>
        <w:t xml:space="preserve"> </w:t>
      </w:r>
      <w:r w:rsidR="004662A0" w:rsidRPr="00257ACB">
        <w:rPr>
          <w:rFonts w:ascii="Times New Roman" w:hAnsi="Times New Roman" w:cs="Times New Roman"/>
          <w:sz w:val="26"/>
          <w:szCs w:val="26"/>
        </w:rPr>
        <w:t>suggested that even each individual wage</w:t>
      </w:r>
      <w:r w:rsidR="00DB6F02" w:rsidRPr="00257ACB">
        <w:rPr>
          <w:rFonts w:ascii="Times New Roman" w:hAnsi="Times New Roman" w:cs="Times New Roman"/>
          <w:sz w:val="26"/>
          <w:szCs w:val="26"/>
        </w:rPr>
        <w:t xml:space="preserve"> or </w:t>
      </w:r>
      <w:r w:rsidR="004662A0" w:rsidRPr="00257ACB">
        <w:rPr>
          <w:rFonts w:ascii="Times New Roman" w:hAnsi="Times New Roman" w:cs="Times New Roman"/>
          <w:sz w:val="26"/>
          <w:szCs w:val="26"/>
        </w:rPr>
        <w:t>work bargain could no</w:t>
      </w:r>
      <w:r w:rsidR="006C5E02" w:rsidRPr="00257ACB">
        <w:rPr>
          <w:rFonts w:ascii="Times New Roman" w:hAnsi="Times New Roman" w:cs="Times New Roman"/>
          <w:sz w:val="26"/>
          <w:szCs w:val="26"/>
        </w:rPr>
        <w:t>t</w:t>
      </w:r>
      <w:r w:rsidR="004662A0" w:rsidRPr="00257ACB">
        <w:rPr>
          <w:rFonts w:ascii="Times New Roman" w:hAnsi="Times New Roman" w:cs="Times New Roman"/>
          <w:sz w:val="26"/>
          <w:szCs w:val="26"/>
        </w:rPr>
        <w:t xml:space="preserve"> be a contract of service.</w:t>
      </w:r>
      <w:r w:rsidR="006C5E02" w:rsidRPr="00257ACB">
        <w:rPr>
          <w:rFonts w:ascii="Times New Roman" w:hAnsi="Times New Roman" w:cs="Times New Roman"/>
          <w:sz w:val="26"/>
          <w:szCs w:val="26"/>
        </w:rPr>
        <w:t xml:space="preserve"> In Carmichael, </w:t>
      </w:r>
      <w:r w:rsidR="00B0346D" w:rsidRPr="00257ACB">
        <w:rPr>
          <w:rFonts w:ascii="Times New Roman" w:hAnsi="Times New Roman" w:cs="Times New Roman"/>
          <w:sz w:val="26"/>
          <w:szCs w:val="26"/>
        </w:rPr>
        <w:t xml:space="preserve">‘casual as required’ tour guides in a power station attempted to </w:t>
      </w:r>
      <w:r w:rsidR="00DB6F02" w:rsidRPr="00257ACB">
        <w:rPr>
          <w:rFonts w:ascii="Times New Roman" w:hAnsi="Times New Roman" w:cs="Times New Roman"/>
          <w:sz w:val="26"/>
          <w:szCs w:val="26"/>
        </w:rPr>
        <w:t>assert their right to particulars of employment.</w:t>
      </w:r>
      <w:r w:rsidR="0083368E">
        <w:rPr>
          <w:rStyle w:val="ae"/>
          <w:rFonts w:ascii="Times New Roman" w:hAnsi="Times New Roman" w:cs="Times New Roman"/>
          <w:sz w:val="26"/>
          <w:szCs w:val="26"/>
        </w:rPr>
        <w:footnoteReference w:id="159"/>
      </w:r>
      <w:r w:rsidR="00133021" w:rsidRPr="00257ACB">
        <w:rPr>
          <w:rFonts w:ascii="Times New Roman" w:hAnsi="Times New Roman" w:cs="Times New Roman"/>
          <w:sz w:val="26"/>
          <w:szCs w:val="26"/>
        </w:rPr>
        <w:t xml:space="preserve"> Whilst the Court of Appeal had found them to be employees, the House of Lords upheld the industrial tribunal’s finding that the claimants’ ‘case “founder[ed] on the rock of absence of mutuality”’.</w:t>
      </w:r>
      <w:r w:rsidR="000E0C34">
        <w:rPr>
          <w:rStyle w:val="ae"/>
          <w:rFonts w:ascii="Times New Roman" w:hAnsi="Times New Roman" w:cs="Times New Roman"/>
          <w:sz w:val="26"/>
          <w:szCs w:val="26"/>
        </w:rPr>
        <w:footnoteReference w:id="160"/>
      </w:r>
      <w:r w:rsidR="003D36F7" w:rsidRPr="00257ACB">
        <w:rPr>
          <w:rFonts w:ascii="Times New Roman" w:hAnsi="Times New Roman" w:cs="Times New Roman"/>
          <w:sz w:val="26"/>
          <w:szCs w:val="26"/>
        </w:rPr>
        <w:t>Judging from major leading cases regarding the requirement of the mutuality of obligation, it seems a serious challenge</w:t>
      </w:r>
      <w:r w:rsidR="002C49D1" w:rsidRPr="00257ACB">
        <w:rPr>
          <w:rFonts w:ascii="Times New Roman" w:hAnsi="Times New Roman" w:cs="Times New Roman"/>
          <w:sz w:val="26"/>
          <w:szCs w:val="26"/>
        </w:rPr>
        <w:t xml:space="preserve"> to classification of </w:t>
      </w:r>
      <w:r w:rsidR="005A5D69" w:rsidRPr="00257ACB">
        <w:rPr>
          <w:rFonts w:ascii="Times New Roman" w:hAnsi="Times New Roman" w:cs="Times New Roman"/>
          <w:sz w:val="26"/>
          <w:szCs w:val="26"/>
        </w:rPr>
        <w:t>Zero-Hours Contract arrangements as statutorily protected contracts of employment or service</w:t>
      </w:r>
      <w:r w:rsidR="003D36F7" w:rsidRPr="00257ACB">
        <w:rPr>
          <w:rFonts w:ascii="Times New Roman" w:hAnsi="Times New Roman" w:cs="Times New Roman"/>
          <w:sz w:val="26"/>
          <w:szCs w:val="26"/>
        </w:rPr>
        <w:t>. However, there are some suggestions which support more concerned use of this concept than were</w:t>
      </w:r>
      <w:r w:rsidR="002C49D1" w:rsidRPr="00257ACB">
        <w:rPr>
          <w:rFonts w:ascii="Times New Roman" w:hAnsi="Times New Roman" w:cs="Times New Roman"/>
          <w:sz w:val="26"/>
          <w:szCs w:val="26"/>
        </w:rPr>
        <w:t xml:space="preserve"> directly </w:t>
      </w:r>
      <w:r w:rsidR="003D36F7" w:rsidRPr="00257ACB">
        <w:rPr>
          <w:rFonts w:ascii="Times New Roman" w:hAnsi="Times New Roman" w:cs="Times New Roman"/>
          <w:sz w:val="26"/>
          <w:szCs w:val="26"/>
        </w:rPr>
        <w:t>mentioned</w:t>
      </w:r>
      <w:r w:rsidR="002C49D1" w:rsidRPr="00257ACB">
        <w:rPr>
          <w:rFonts w:ascii="Times New Roman" w:hAnsi="Times New Roman" w:cs="Times New Roman"/>
          <w:sz w:val="26"/>
          <w:szCs w:val="26"/>
        </w:rPr>
        <w:t xml:space="preserve"> in </w:t>
      </w:r>
      <w:r w:rsidR="003D36F7" w:rsidRPr="00257ACB">
        <w:rPr>
          <w:rFonts w:ascii="Times New Roman" w:hAnsi="Times New Roman" w:cs="Times New Roman"/>
          <w:sz w:val="26"/>
          <w:szCs w:val="26"/>
        </w:rPr>
        <w:t xml:space="preserve">these </w:t>
      </w:r>
      <w:r w:rsidR="00F40D1E" w:rsidRPr="00257ACB">
        <w:rPr>
          <w:rFonts w:ascii="Times New Roman" w:hAnsi="Times New Roman" w:cs="Times New Roman"/>
          <w:sz w:val="26"/>
          <w:szCs w:val="26"/>
        </w:rPr>
        <w:t>cases</w:t>
      </w:r>
      <w:r w:rsidR="002C49D1" w:rsidRPr="00257ACB">
        <w:rPr>
          <w:rFonts w:ascii="Times New Roman" w:hAnsi="Times New Roman" w:cs="Times New Roman"/>
          <w:sz w:val="26"/>
          <w:szCs w:val="26"/>
        </w:rPr>
        <w:t>.</w:t>
      </w:r>
      <w:r w:rsidR="00EF0963" w:rsidRPr="00257ACB">
        <w:rPr>
          <w:rFonts w:ascii="Times New Roman" w:hAnsi="Times New Roman" w:cs="Times New Roman"/>
          <w:sz w:val="26"/>
          <w:szCs w:val="26"/>
        </w:rPr>
        <w:t xml:space="preserve"> </w:t>
      </w:r>
      <w:r w:rsidR="007E0BA7" w:rsidRPr="00257ACB">
        <w:rPr>
          <w:rFonts w:ascii="Times New Roman" w:hAnsi="Times New Roman" w:cs="Times New Roman"/>
          <w:sz w:val="26"/>
          <w:szCs w:val="26"/>
        </w:rPr>
        <w:t>For example, Lord Hoffmann in Carmichael</w:t>
      </w:r>
      <w:r w:rsidR="00EA3DE7" w:rsidRPr="00257ACB">
        <w:rPr>
          <w:rFonts w:ascii="Times New Roman" w:hAnsi="Times New Roman" w:cs="Times New Roman"/>
          <w:sz w:val="26"/>
          <w:szCs w:val="26"/>
        </w:rPr>
        <w:t xml:space="preserve"> </w:t>
      </w:r>
      <w:r w:rsidR="007E0BA7" w:rsidRPr="00257ACB">
        <w:rPr>
          <w:rFonts w:ascii="Times New Roman" w:hAnsi="Times New Roman" w:cs="Times New Roman"/>
          <w:sz w:val="26"/>
          <w:szCs w:val="26"/>
        </w:rPr>
        <w:t>warned that ‘in a case in which the terms of the contract are based upon conduct and conversations as well as letters’ the Courts should not ignore evidence of the reality of what happened between the parties.</w:t>
      </w:r>
      <w:r w:rsidR="000E0C34">
        <w:rPr>
          <w:rStyle w:val="ae"/>
          <w:rFonts w:ascii="Times New Roman" w:hAnsi="Times New Roman" w:cs="Times New Roman"/>
          <w:sz w:val="26"/>
          <w:szCs w:val="26"/>
        </w:rPr>
        <w:footnoteReference w:id="161"/>
      </w:r>
      <w:r w:rsidR="002C49D1" w:rsidRPr="00257ACB">
        <w:rPr>
          <w:rFonts w:ascii="Times New Roman" w:hAnsi="Times New Roman" w:cs="Times New Roman"/>
          <w:sz w:val="26"/>
          <w:szCs w:val="26"/>
        </w:rPr>
        <w:t xml:space="preserve"> </w:t>
      </w:r>
      <w:r w:rsidR="000744FF" w:rsidRPr="00257ACB">
        <w:rPr>
          <w:rFonts w:ascii="Times New Roman" w:hAnsi="Times New Roman" w:cs="Times New Roman"/>
          <w:sz w:val="26"/>
          <w:szCs w:val="26"/>
        </w:rPr>
        <w:t xml:space="preserve"> In</w:t>
      </w:r>
      <w:r w:rsidR="00281CEE" w:rsidRPr="00257ACB">
        <w:rPr>
          <w:rFonts w:ascii="Times New Roman" w:hAnsi="Times New Roman" w:cs="Times New Roman"/>
          <w:sz w:val="26"/>
          <w:szCs w:val="26"/>
        </w:rPr>
        <w:t xml:space="preserve"> the more recent decision in Cotswold Development v Williams, Langstaff J (as he then was) </w:t>
      </w:r>
      <w:r w:rsidR="003F4144" w:rsidRPr="00257ACB">
        <w:rPr>
          <w:rFonts w:ascii="Times New Roman" w:hAnsi="Times New Roman" w:cs="Times New Roman"/>
          <w:sz w:val="26"/>
          <w:szCs w:val="26"/>
        </w:rPr>
        <w:t>express</w:t>
      </w:r>
      <w:r w:rsidR="00281CEE" w:rsidRPr="00257ACB">
        <w:rPr>
          <w:rFonts w:ascii="Times New Roman" w:hAnsi="Times New Roman" w:cs="Times New Roman"/>
          <w:sz w:val="26"/>
          <w:szCs w:val="26"/>
        </w:rPr>
        <w:t>ed his concern that Tribunals may</w:t>
      </w:r>
    </w:p>
    <w:p w14:paraId="157B4751" w14:textId="2B8E23F3" w:rsidR="00281CEE" w:rsidRPr="00257ACB" w:rsidRDefault="00961211" w:rsidP="00FC4102">
      <w:pPr>
        <w:pStyle w:val="a3"/>
        <w:ind w:leftChars="500" w:left="1000"/>
        <w:rPr>
          <w:rFonts w:ascii="Times New Roman" w:hAnsi="Times New Roman" w:cs="Times New Roman"/>
          <w:sz w:val="26"/>
          <w:szCs w:val="26"/>
        </w:rPr>
      </w:pPr>
      <w:r w:rsidRPr="00257ACB">
        <w:rPr>
          <w:rFonts w:ascii="Times New Roman" w:hAnsi="Times New Roman" w:cs="Times New Roman"/>
          <w:sz w:val="26"/>
          <w:szCs w:val="26"/>
        </w:rPr>
        <w:t>Have misunderstood something further which characterizes the application of ‘mutuality of obligation’ in the sense of the wage/work bargain. That is that it does not deprive an overriding contract of such mutual obligations that the employee has the right to refuse work. Nor does it do so where the employer</w:t>
      </w:r>
      <w:r w:rsidR="001A0B88" w:rsidRPr="00257ACB">
        <w:rPr>
          <w:rFonts w:ascii="Times New Roman" w:hAnsi="Times New Roman" w:cs="Times New Roman"/>
          <w:sz w:val="26"/>
          <w:szCs w:val="26"/>
        </w:rPr>
        <w:t xml:space="preserve"> may</w:t>
      </w:r>
      <w:r w:rsidRPr="00257ACB">
        <w:rPr>
          <w:rFonts w:ascii="Times New Roman" w:hAnsi="Times New Roman" w:cs="Times New Roman"/>
          <w:sz w:val="26"/>
          <w:szCs w:val="26"/>
        </w:rPr>
        <w:t xml:space="preserve"> exercise a choice to withhold work. The focus must be upon whether or not there is some obligation upon an individual to work and some obligation upon the other party to provide or </w:t>
      </w:r>
      <w:r w:rsidRPr="00257ACB">
        <w:rPr>
          <w:rFonts w:ascii="Times New Roman" w:hAnsi="Times New Roman" w:cs="Times New Roman"/>
          <w:sz w:val="26"/>
          <w:szCs w:val="26"/>
        </w:rPr>
        <w:lastRenderedPageBreak/>
        <w:t>pay for it.</w:t>
      </w:r>
      <w:r w:rsidR="000E0C34">
        <w:rPr>
          <w:rStyle w:val="ae"/>
          <w:rFonts w:ascii="Times New Roman" w:hAnsi="Times New Roman" w:cs="Times New Roman"/>
          <w:sz w:val="26"/>
          <w:szCs w:val="26"/>
        </w:rPr>
        <w:footnoteReference w:id="162"/>
      </w:r>
      <w:r w:rsidR="00EE61CF" w:rsidRPr="00257ACB">
        <w:rPr>
          <w:rFonts w:ascii="Times New Roman" w:hAnsi="Times New Roman" w:cs="Times New Roman"/>
          <w:sz w:val="26"/>
          <w:szCs w:val="26"/>
        </w:rPr>
        <w:t xml:space="preserve"> This</w:t>
      </w:r>
      <w:r w:rsidR="00FC4102" w:rsidRPr="00257ACB">
        <w:rPr>
          <w:rFonts w:ascii="Times New Roman" w:hAnsi="Times New Roman" w:cs="Times New Roman"/>
          <w:sz w:val="26"/>
          <w:szCs w:val="26"/>
        </w:rPr>
        <w:t xml:space="preserve"> subtle</w:t>
      </w:r>
      <w:r w:rsidR="00EE61CF" w:rsidRPr="00257ACB">
        <w:rPr>
          <w:rFonts w:ascii="Times New Roman" w:hAnsi="Times New Roman" w:cs="Times New Roman"/>
          <w:sz w:val="26"/>
          <w:szCs w:val="26"/>
        </w:rPr>
        <w:t xml:space="preserve"> </w:t>
      </w:r>
      <w:r w:rsidR="00166647" w:rsidRPr="00257ACB">
        <w:rPr>
          <w:rFonts w:ascii="Times New Roman" w:hAnsi="Times New Roman" w:cs="Times New Roman"/>
          <w:sz w:val="26"/>
          <w:szCs w:val="26"/>
        </w:rPr>
        <w:t>development of the mutuality of obligation criteri</w:t>
      </w:r>
      <w:r w:rsidR="00FC4102" w:rsidRPr="00257ACB">
        <w:rPr>
          <w:rFonts w:ascii="Times New Roman" w:hAnsi="Times New Roman" w:cs="Times New Roman"/>
          <w:sz w:val="26"/>
          <w:szCs w:val="26"/>
        </w:rPr>
        <w:t xml:space="preserve">on to a wide range of actual variation can be noticed in operation in the EAT’s decision in </w:t>
      </w:r>
      <w:r w:rsidR="001D2114" w:rsidRPr="00257ACB">
        <w:rPr>
          <w:rFonts w:ascii="Times New Roman" w:hAnsi="Times New Roman" w:cs="Times New Roman"/>
          <w:sz w:val="26"/>
          <w:szCs w:val="26"/>
        </w:rPr>
        <w:t>St Ives, which found that whilst the work had been characterized contractually as a Zero-Hours arrangement, there ‘were mutual obligations subsisting between the employer and the employee during periods when the employee, a casual worker, was not actually engaged on any particular shift’.</w:t>
      </w:r>
      <w:r w:rsidR="000E0C34">
        <w:rPr>
          <w:rStyle w:val="ae"/>
          <w:rFonts w:ascii="Times New Roman" w:hAnsi="Times New Roman" w:cs="Times New Roman"/>
          <w:sz w:val="26"/>
          <w:szCs w:val="26"/>
        </w:rPr>
        <w:footnoteReference w:id="163"/>
      </w:r>
      <w:r w:rsidR="00FC4102" w:rsidRPr="00257ACB">
        <w:rPr>
          <w:rFonts w:ascii="Times New Roman" w:hAnsi="Times New Roman" w:cs="Times New Roman"/>
          <w:sz w:val="26"/>
          <w:szCs w:val="26"/>
        </w:rPr>
        <w:t xml:space="preserve"> </w:t>
      </w:r>
      <w:r w:rsidR="00DD7573" w:rsidRPr="00257ACB">
        <w:rPr>
          <w:rFonts w:ascii="Times New Roman" w:hAnsi="Times New Roman" w:cs="Times New Roman"/>
          <w:sz w:val="26"/>
          <w:szCs w:val="26"/>
        </w:rPr>
        <w:t xml:space="preserve">This seemed to be </w:t>
      </w:r>
      <w:r w:rsidR="005A2612" w:rsidRPr="00257ACB">
        <w:rPr>
          <w:rFonts w:ascii="Times New Roman" w:hAnsi="Times New Roman" w:cs="Times New Roman"/>
          <w:sz w:val="26"/>
          <w:szCs w:val="26"/>
        </w:rPr>
        <w:t>mainly</w:t>
      </w:r>
      <w:r w:rsidR="00DD7573" w:rsidRPr="00257ACB">
        <w:rPr>
          <w:rFonts w:ascii="Times New Roman" w:hAnsi="Times New Roman" w:cs="Times New Roman"/>
          <w:sz w:val="26"/>
          <w:szCs w:val="26"/>
        </w:rPr>
        <w:t xml:space="preserve"> due to the tribunal’s findings of a long and well-established regular work pattern, with the employer on one occasion even takin</w:t>
      </w:r>
      <w:r w:rsidR="005A2612" w:rsidRPr="00257ACB">
        <w:rPr>
          <w:rFonts w:ascii="Times New Roman" w:hAnsi="Times New Roman" w:cs="Times New Roman"/>
          <w:sz w:val="26"/>
          <w:szCs w:val="26"/>
        </w:rPr>
        <w:t>g</w:t>
      </w:r>
      <w:r w:rsidR="00DD7573" w:rsidRPr="00257ACB">
        <w:rPr>
          <w:rFonts w:ascii="Times New Roman" w:hAnsi="Times New Roman" w:cs="Times New Roman"/>
          <w:sz w:val="26"/>
          <w:szCs w:val="26"/>
        </w:rPr>
        <w:t xml:space="preserve"> disciplinary action against the casual worker’s violation of that pattern.</w:t>
      </w:r>
      <w:r w:rsidR="000E0C34">
        <w:rPr>
          <w:rStyle w:val="ae"/>
          <w:rFonts w:ascii="Times New Roman" w:hAnsi="Times New Roman" w:cs="Times New Roman"/>
          <w:sz w:val="26"/>
          <w:szCs w:val="26"/>
        </w:rPr>
        <w:footnoteReference w:id="164"/>
      </w:r>
      <w:r w:rsidR="005A2612" w:rsidRPr="00257ACB">
        <w:rPr>
          <w:rFonts w:ascii="Times New Roman" w:hAnsi="Times New Roman" w:cs="Times New Roman"/>
          <w:sz w:val="26"/>
          <w:szCs w:val="26"/>
        </w:rPr>
        <w:t xml:space="preserve"> As Elias J (as he then was) noted, ‘a course of dealing, even in circumstances where the casual is entitled to refuse any particular shift, may in principle be capable of giving rise to mutual legal obligations in the periods when no work is provided.’</w:t>
      </w:r>
      <w:r w:rsidR="000E0C34">
        <w:rPr>
          <w:rStyle w:val="ae"/>
          <w:rFonts w:ascii="Times New Roman" w:hAnsi="Times New Roman" w:cs="Times New Roman"/>
          <w:sz w:val="26"/>
          <w:szCs w:val="26"/>
        </w:rPr>
        <w:footnoteReference w:id="165"/>
      </w:r>
      <w:r w:rsidR="000E76D0" w:rsidRPr="00257ACB">
        <w:rPr>
          <w:rFonts w:ascii="Times New Roman" w:hAnsi="Times New Roman" w:cs="Times New Roman"/>
          <w:sz w:val="26"/>
          <w:szCs w:val="26"/>
        </w:rPr>
        <w:t xml:space="preserve"> </w:t>
      </w:r>
      <w:r w:rsidR="0037529C" w:rsidRPr="00257ACB">
        <w:rPr>
          <w:rFonts w:ascii="Times New Roman" w:hAnsi="Times New Roman" w:cs="Times New Roman"/>
          <w:sz w:val="26"/>
          <w:szCs w:val="26"/>
        </w:rPr>
        <w:t>That is, it is entirely possible that an individual working under a Zero-Hours Contract can be classified as an employee under section 230 ERA even through an application of the mutuality of obligation text for employment status.</w:t>
      </w:r>
      <w:r w:rsidR="000E0C34">
        <w:rPr>
          <w:rStyle w:val="ae"/>
          <w:rFonts w:ascii="Times New Roman" w:hAnsi="Times New Roman" w:cs="Times New Roman"/>
          <w:sz w:val="26"/>
          <w:szCs w:val="26"/>
        </w:rPr>
        <w:footnoteReference w:id="166"/>
      </w:r>
      <w:r w:rsidR="0037529C" w:rsidRPr="00257ACB">
        <w:rPr>
          <w:rFonts w:ascii="Times New Roman" w:hAnsi="Times New Roman" w:cs="Times New Roman"/>
          <w:sz w:val="26"/>
          <w:szCs w:val="26"/>
        </w:rPr>
        <w:t xml:space="preserve"> </w:t>
      </w:r>
      <w:r w:rsidR="00DD2DA3" w:rsidRPr="00257ACB">
        <w:rPr>
          <w:rFonts w:ascii="Times New Roman" w:hAnsi="Times New Roman" w:cs="Times New Roman"/>
          <w:sz w:val="26"/>
          <w:szCs w:val="26"/>
        </w:rPr>
        <w:t>It should be noted</w:t>
      </w:r>
      <w:r w:rsidR="00BF0232" w:rsidRPr="00257ACB">
        <w:rPr>
          <w:rFonts w:ascii="Times New Roman" w:hAnsi="Times New Roman" w:cs="Times New Roman"/>
          <w:sz w:val="26"/>
          <w:szCs w:val="26"/>
        </w:rPr>
        <w:t>, however,</w:t>
      </w:r>
      <w:r w:rsidR="00DD2DA3" w:rsidRPr="00257ACB">
        <w:rPr>
          <w:rFonts w:ascii="Times New Roman" w:hAnsi="Times New Roman" w:cs="Times New Roman"/>
          <w:sz w:val="26"/>
          <w:szCs w:val="26"/>
        </w:rPr>
        <w:t xml:space="preserve"> that such an outcome</w:t>
      </w:r>
      <w:r w:rsidR="00BF0232" w:rsidRPr="00257ACB">
        <w:rPr>
          <w:rFonts w:ascii="Times New Roman" w:hAnsi="Times New Roman" w:cs="Times New Roman"/>
          <w:sz w:val="26"/>
          <w:szCs w:val="26"/>
        </w:rPr>
        <w:t xml:space="preserve"> </w:t>
      </w:r>
      <w:r w:rsidR="00DD2DA3" w:rsidRPr="00257ACB">
        <w:rPr>
          <w:rFonts w:ascii="Times New Roman" w:hAnsi="Times New Roman" w:cs="Times New Roman"/>
          <w:sz w:val="26"/>
          <w:szCs w:val="26"/>
        </w:rPr>
        <w:t>would be heavily dependent on the precise facts of each individual case and furthermore and somewhat counter-intuitively, be dependent on level of precarity in any one work setting: the less stable or secure the arrangement, the higher the chance that it would fall to be classified as a contract of employment.</w:t>
      </w:r>
      <w:r w:rsidR="000E0C34">
        <w:rPr>
          <w:rStyle w:val="ae"/>
          <w:rFonts w:ascii="Times New Roman" w:hAnsi="Times New Roman" w:cs="Times New Roman"/>
          <w:sz w:val="26"/>
          <w:szCs w:val="26"/>
        </w:rPr>
        <w:footnoteReference w:id="167"/>
      </w:r>
      <w:r w:rsidR="00DD2DA3" w:rsidRPr="00257ACB">
        <w:rPr>
          <w:rFonts w:ascii="Times New Roman" w:hAnsi="Times New Roman" w:cs="Times New Roman"/>
          <w:sz w:val="26"/>
          <w:szCs w:val="26"/>
        </w:rPr>
        <w:t xml:space="preserve"> </w:t>
      </w:r>
    </w:p>
    <w:p w14:paraId="439E602E" w14:textId="65C74FA0" w:rsidR="000E76D0" w:rsidRPr="00257ACB" w:rsidRDefault="004A79E8" w:rsidP="00FC4102">
      <w:pPr>
        <w:pStyle w:val="a3"/>
        <w:ind w:leftChars="500" w:left="1000"/>
        <w:rPr>
          <w:rFonts w:ascii="Times New Roman" w:hAnsi="Times New Roman" w:cs="Times New Roman"/>
          <w:sz w:val="26"/>
          <w:szCs w:val="26"/>
        </w:rPr>
      </w:pPr>
      <w:r w:rsidRPr="00257ACB">
        <w:rPr>
          <w:rFonts w:ascii="Times New Roman" w:hAnsi="Times New Roman" w:cs="Times New Roman"/>
          <w:sz w:val="26"/>
          <w:szCs w:val="26"/>
        </w:rPr>
        <w:t xml:space="preserve">On the other hand, where a Zero-Hours Contract worker is found not to be working under a contract of employment, </w:t>
      </w:r>
      <w:r w:rsidR="00645F24" w:rsidRPr="00257ACB">
        <w:rPr>
          <w:rFonts w:ascii="Times New Roman" w:hAnsi="Times New Roman" w:cs="Times New Roman"/>
          <w:sz w:val="26"/>
          <w:szCs w:val="26"/>
        </w:rPr>
        <w:t>it can be said a secondary</w:t>
      </w:r>
      <w:r w:rsidRPr="00257ACB">
        <w:rPr>
          <w:rFonts w:ascii="Times New Roman" w:hAnsi="Times New Roman" w:cs="Times New Roman"/>
          <w:sz w:val="26"/>
          <w:szCs w:val="26"/>
        </w:rPr>
        <w:t xml:space="preserve"> gateway into (a smaller set of) basic employment rights</w:t>
      </w:r>
      <w:r w:rsidR="00645F24" w:rsidRPr="00257ACB">
        <w:rPr>
          <w:rFonts w:ascii="Times New Roman" w:hAnsi="Times New Roman" w:cs="Times New Roman"/>
          <w:sz w:val="26"/>
          <w:szCs w:val="26"/>
        </w:rPr>
        <w:t xml:space="preserve"> remains</w:t>
      </w:r>
      <w:r w:rsidRPr="00257ACB">
        <w:rPr>
          <w:rFonts w:ascii="Times New Roman" w:hAnsi="Times New Roman" w:cs="Times New Roman"/>
          <w:sz w:val="26"/>
          <w:szCs w:val="26"/>
        </w:rPr>
        <w:t>. Statutory employment law has reacted to the increasing heterogeneity of work through a proliferation of additional categories,</w:t>
      </w:r>
      <w:r w:rsidR="000E0C34">
        <w:rPr>
          <w:rStyle w:val="ae"/>
          <w:rFonts w:ascii="Times New Roman" w:hAnsi="Times New Roman" w:cs="Times New Roman"/>
          <w:sz w:val="26"/>
          <w:szCs w:val="26"/>
        </w:rPr>
        <w:footnoteReference w:id="168"/>
      </w:r>
      <w:r w:rsidRPr="00257ACB">
        <w:rPr>
          <w:rFonts w:ascii="Times New Roman" w:hAnsi="Times New Roman" w:cs="Times New Roman"/>
          <w:sz w:val="26"/>
          <w:szCs w:val="26"/>
        </w:rPr>
        <w:t xml:space="preserve"> including notably the worker concept in the sense of section 230(3</w:t>
      </w:r>
      <w:r w:rsidR="005F48F6" w:rsidRPr="00257ACB">
        <w:rPr>
          <w:rFonts w:ascii="Times New Roman" w:hAnsi="Times New Roman" w:cs="Times New Roman"/>
          <w:sz w:val="26"/>
          <w:szCs w:val="26"/>
        </w:rPr>
        <w:t xml:space="preserve">) </w:t>
      </w:r>
      <w:r w:rsidR="005F48F6" w:rsidRPr="00257ACB">
        <w:rPr>
          <w:rFonts w:ascii="Times New Roman" w:hAnsi="Times New Roman" w:cs="Times New Roman"/>
          <w:sz w:val="26"/>
          <w:szCs w:val="26"/>
        </w:rPr>
        <w:lastRenderedPageBreak/>
        <w:t xml:space="preserve">ERA, introduced in order to broaden the scope of basic </w:t>
      </w:r>
      <w:proofErr w:type="spellStart"/>
      <w:r w:rsidR="005F48F6" w:rsidRPr="00257ACB">
        <w:rPr>
          <w:rFonts w:ascii="Times New Roman" w:hAnsi="Times New Roman" w:cs="Times New Roman"/>
          <w:sz w:val="26"/>
          <w:szCs w:val="26"/>
        </w:rPr>
        <w:t>labour</w:t>
      </w:r>
      <w:proofErr w:type="spellEnd"/>
      <w:r w:rsidR="005F48F6" w:rsidRPr="00257ACB">
        <w:rPr>
          <w:rFonts w:ascii="Times New Roman" w:hAnsi="Times New Roman" w:cs="Times New Roman"/>
          <w:sz w:val="26"/>
          <w:szCs w:val="26"/>
        </w:rPr>
        <w:t xml:space="preserve"> standards.</w:t>
      </w:r>
      <w:r w:rsidR="000E0C34">
        <w:rPr>
          <w:rStyle w:val="ae"/>
          <w:rFonts w:ascii="Times New Roman" w:hAnsi="Times New Roman" w:cs="Times New Roman"/>
          <w:sz w:val="26"/>
          <w:szCs w:val="26"/>
        </w:rPr>
        <w:footnoteReference w:id="169"/>
      </w:r>
      <w:r w:rsidR="005F48F6" w:rsidRPr="00257ACB">
        <w:rPr>
          <w:rFonts w:ascii="Times New Roman" w:hAnsi="Times New Roman" w:cs="Times New Roman"/>
          <w:sz w:val="26"/>
          <w:szCs w:val="26"/>
        </w:rPr>
        <w:t xml:space="preserve"> The leading dicta on the interpretation of this status can be found in Byrne Bros v Baird,</w:t>
      </w:r>
      <w:r w:rsidR="000E0C34">
        <w:rPr>
          <w:rStyle w:val="ae"/>
          <w:rFonts w:ascii="Times New Roman" w:hAnsi="Times New Roman" w:cs="Times New Roman"/>
          <w:sz w:val="26"/>
          <w:szCs w:val="26"/>
        </w:rPr>
        <w:footnoteReference w:id="170"/>
      </w:r>
      <w:r w:rsidR="005F48F6" w:rsidRPr="00257ACB">
        <w:rPr>
          <w:rFonts w:ascii="Times New Roman" w:hAnsi="Times New Roman" w:cs="Times New Roman"/>
          <w:sz w:val="26"/>
          <w:szCs w:val="26"/>
        </w:rPr>
        <w:t xml:space="preserve"> a decision in the context of the Working Time Regulations 1998.</w:t>
      </w:r>
      <w:r w:rsidR="000E0C34">
        <w:rPr>
          <w:rStyle w:val="ae"/>
          <w:rFonts w:ascii="Times New Roman" w:hAnsi="Times New Roman" w:cs="Times New Roman"/>
          <w:sz w:val="26"/>
          <w:szCs w:val="26"/>
        </w:rPr>
        <w:footnoteReference w:id="171"/>
      </w:r>
      <w:r w:rsidR="005F48F6" w:rsidRPr="00257ACB">
        <w:rPr>
          <w:rFonts w:ascii="Times New Roman" w:hAnsi="Times New Roman" w:cs="Times New Roman"/>
          <w:sz w:val="26"/>
          <w:szCs w:val="26"/>
        </w:rPr>
        <w:t xml:space="preserve"> Recorder Underhill QC suggested that the difference between the statu</w:t>
      </w:r>
      <w:r w:rsidR="00645F24" w:rsidRPr="00257ACB">
        <w:rPr>
          <w:rFonts w:ascii="Times New Roman" w:hAnsi="Times New Roman" w:cs="Times New Roman"/>
          <w:sz w:val="26"/>
          <w:szCs w:val="26"/>
        </w:rPr>
        <w:t>s</w:t>
      </w:r>
      <w:r w:rsidR="005F48F6" w:rsidRPr="00257ACB">
        <w:rPr>
          <w:rFonts w:ascii="Times New Roman" w:hAnsi="Times New Roman" w:cs="Times New Roman"/>
          <w:sz w:val="26"/>
          <w:szCs w:val="26"/>
        </w:rPr>
        <w:t>es of employee and worker was to be understood as one of degree, not kind</w:t>
      </w:r>
      <w:r w:rsidR="00645F24" w:rsidRPr="00257ACB">
        <w:rPr>
          <w:rFonts w:ascii="Times New Roman" w:hAnsi="Times New Roman" w:cs="Times New Roman"/>
          <w:sz w:val="26"/>
          <w:szCs w:val="26"/>
        </w:rPr>
        <w:t xml:space="preserve">: </w:t>
      </w:r>
    </w:p>
    <w:p w14:paraId="369F20F9" w14:textId="4250B4A5" w:rsidR="00C931FA" w:rsidRPr="00257ACB" w:rsidRDefault="00C931FA" w:rsidP="00FC4102">
      <w:pPr>
        <w:pStyle w:val="a3"/>
        <w:ind w:leftChars="500" w:left="1000"/>
        <w:rPr>
          <w:rFonts w:ascii="Times New Roman" w:hAnsi="Times New Roman" w:cs="Times New Roman"/>
          <w:sz w:val="26"/>
          <w:szCs w:val="26"/>
        </w:rPr>
      </w:pPr>
      <w:r w:rsidRPr="00257ACB">
        <w:rPr>
          <w:rFonts w:ascii="Times New Roman" w:hAnsi="Times New Roman" w:cs="Times New Roman"/>
          <w:sz w:val="26"/>
          <w:szCs w:val="26"/>
        </w:rPr>
        <w:t xml:space="preserve">Drawing the distinction in any </w:t>
      </w:r>
      <w:proofErr w:type="gramStart"/>
      <w:r w:rsidRPr="00257ACB">
        <w:rPr>
          <w:rFonts w:ascii="Times New Roman" w:hAnsi="Times New Roman" w:cs="Times New Roman"/>
          <w:sz w:val="26"/>
          <w:szCs w:val="26"/>
        </w:rPr>
        <w:t>particular case</w:t>
      </w:r>
      <w:proofErr w:type="gramEnd"/>
      <w:r w:rsidRPr="00257ACB">
        <w:rPr>
          <w:rFonts w:ascii="Times New Roman" w:hAnsi="Times New Roman" w:cs="Times New Roman"/>
          <w:sz w:val="26"/>
          <w:szCs w:val="26"/>
        </w:rPr>
        <w:t xml:space="preserve"> will involve all or most of the same considerations as arise in drawing the distinction between a contract of service and a contract for services</w:t>
      </w:r>
      <w:r w:rsidR="00645F24" w:rsidRPr="00257ACB">
        <w:rPr>
          <w:rFonts w:ascii="Times New Roman" w:hAnsi="Times New Roman" w:cs="Times New Roman"/>
          <w:sz w:val="26"/>
          <w:szCs w:val="26"/>
        </w:rPr>
        <w:t xml:space="preserve"> </w:t>
      </w:r>
      <w:r w:rsidRPr="00257ACB">
        <w:rPr>
          <w:rFonts w:ascii="Times New Roman" w:hAnsi="Times New Roman" w:cs="Times New Roman"/>
          <w:sz w:val="26"/>
          <w:szCs w:val="26"/>
        </w:rPr>
        <w:t>-</w:t>
      </w:r>
      <w:r w:rsidR="00645F24" w:rsidRPr="00257ACB">
        <w:rPr>
          <w:rFonts w:ascii="Times New Roman" w:hAnsi="Times New Roman" w:cs="Times New Roman"/>
          <w:sz w:val="26"/>
          <w:szCs w:val="26"/>
        </w:rPr>
        <w:t xml:space="preserve"> </w:t>
      </w:r>
      <w:r w:rsidRPr="00257ACB">
        <w:rPr>
          <w:rFonts w:ascii="Times New Roman" w:hAnsi="Times New Roman" w:cs="Times New Roman"/>
          <w:sz w:val="26"/>
          <w:szCs w:val="26"/>
        </w:rPr>
        <w:t xml:space="preserve">but with the boundary pushed further in the putative </w:t>
      </w:r>
      <w:r w:rsidR="0017158D" w:rsidRPr="00257ACB">
        <w:rPr>
          <w:rFonts w:ascii="Times New Roman" w:hAnsi="Times New Roman" w:cs="Times New Roman"/>
          <w:sz w:val="26"/>
          <w:szCs w:val="26"/>
        </w:rPr>
        <w:t xml:space="preserve">worker’s </w:t>
      </w:r>
      <w:proofErr w:type="spellStart"/>
      <w:r w:rsidR="0017158D" w:rsidRPr="00257ACB">
        <w:rPr>
          <w:rFonts w:ascii="Times New Roman" w:hAnsi="Times New Roman" w:cs="Times New Roman"/>
          <w:sz w:val="26"/>
          <w:szCs w:val="26"/>
        </w:rPr>
        <w:t>favour</w:t>
      </w:r>
      <w:proofErr w:type="spellEnd"/>
      <w:r w:rsidR="0017158D" w:rsidRPr="00257ACB">
        <w:rPr>
          <w:rFonts w:ascii="Times New Roman" w:hAnsi="Times New Roman" w:cs="Times New Roman"/>
          <w:sz w:val="26"/>
          <w:szCs w:val="26"/>
        </w:rPr>
        <w:t>. […] Cases which failed to reach the mark necessary to quality for protection as employees might nevertheless do so as workers.</w:t>
      </w:r>
      <w:r w:rsidR="000E0C34">
        <w:rPr>
          <w:rStyle w:val="ae"/>
          <w:rFonts w:ascii="Times New Roman" w:hAnsi="Times New Roman" w:cs="Times New Roman"/>
          <w:sz w:val="26"/>
          <w:szCs w:val="26"/>
        </w:rPr>
        <w:footnoteReference w:id="172"/>
      </w:r>
      <w:r w:rsidR="0044212B" w:rsidRPr="00257ACB">
        <w:rPr>
          <w:rFonts w:ascii="Times New Roman" w:hAnsi="Times New Roman" w:cs="Times New Roman"/>
          <w:sz w:val="26"/>
          <w:szCs w:val="26"/>
        </w:rPr>
        <w:t xml:space="preserve"> </w:t>
      </w:r>
    </w:p>
    <w:p w14:paraId="0D9752B6" w14:textId="00C37369" w:rsidR="000271E6" w:rsidRPr="00257ACB" w:rsidRDefault="00292E85" w:rsidP="00FC4102">
      <w:pPr>
        <w:pStyle w:val="a3"/>
        <w:ind w:leftChars="500" w:left="1000"/>
        <w:rPr>
          <w:rFonts w:ascii="Times New Roman" w:hAnsi="Times New Roman" w:cs="Times New Roman"/>
          <w:sz w:val="26"/>
          <w:szCs w:val="26"/>
        </w:rPr>
      </w:pPr>
      <w:r w:rsidRPr="00257ACB">
        <w:rPr>
          <w:rFonts w:ascii="Times New Roman" w:hAnsi="Times New Roman" w:cs="Times New Roman"/>
          <w:sz w:val="26"/>
          <w:szCs w:val="26"/>
        </w:rPr>
        <w:t xml:space="preserve">As reviewed above, it can be said that mutuality of obligation will obstruct all the claimants </w:t>
      </w:r>
      <w:r w:rsidR="000271E6" w:rsidRPr="00257ACB">
        <w:rPr>
          <w:rFonts w:ascii="Times New Roman" w:hAnsi="Times New Roman" w:cs="Times New Roman"/>
          <w:sz w:val="26"/>
          <w:szCs w:val="26"/>
        </w:rPr>
        <w:t>working under Zero-Hours Contracts</w:t>
      </w:r>
      <w:r w:rsidRPr="00257ACB">
        <w:rPr>
          <w:rFonts w:ascii="Times New Roman" w:hAnsi="Times New Roman" w:cs="Times New Roman"/>
          <w:sz w:val="26"/>
          <w:szCs w:val="26"/>
        </w:rPr>
        <w:t xml:space="preserve"> from</w:t>
      </w:r>
      <w:r w:rsidR="000271E6" w:rsidRPr="00257ACB">
        <w:rPr>
          <w:rFonts w:ascii="Times New Roman" w:hAnsi="Times New Roman" w:cs="Times New Roman"/>
          <w:sz w:val="26"/>
          <w:szCs w:val="26"/>
        </w:rPr>
        <w:t xml:space="preserve"> seeking to </w:t>
      </w:r>
      <w:r w:rsidRPr="00257ACB">
        <w:rPr>
          <w:rFonts w:ascii="Times New Roman" w:hAnsi="Times New Roman" w:cs="Times New Roman"/>
          <w:sz w:val="26"/>
          <w:szCs w:val="26"/>
        </w:rPr>
        <w:t>depend</w:t>
      </w:r>
      <w:r w:rsidR="000271E6" w:rsidRPr="00257ACB">
        <w:rPr>
          <w:rFonts w:ascii="Times New Roman" w:hAnsi="Times New Roman" w:cs="Times New Roman"/>
          <w:sz w:val="26"/>
          <w:szCs w:val="26"/>
        </w:rPr>
        <w:t xml:space="preserve"> on their statutory rights. Even those not found to be working under a contract of employment will </w:t>
      </w:r>
      <w:r w:rsidR="003202B4" w:rsidRPr="00257ACB">
        <w:rPr>
          <w:rFonts w:ascii="Times New Roman" w:hAnsi="Times New Roman" w:cs="Times New Roman"/>
          <w:sz w:val="26"/>
          <w:szCs w:val="26"/>
        </w:rPr>
        <w:t>often</w:t>
      </w:r>
      <w:r w:rsidR="000271E6" w:rsidRPr="00257ACB">
        <w:rPr>
          <w:rFonts w:ascii="Times New Roman" w:hAnsi="Times New Roman" w:cs="Times New Roman"/>
          <w:sz w:val="26"/>
          <w:szCs w:val="26"/>
        </w:rPr>
        <w:t xml:space="preserve"> be able to have recourse to at least the set of rights protected under a worker’s contract.</w:t>
      </w:r>
      <w:r w:rsidR="000E0C34">
        <w:rPr>
          <w:rStyle w:val="ae"/>
          <w:rFonts w:ascii="Times New Roman" w:hAnsi="Times New Roman" w:cs="Times New Roman"/>
          <w:sz w:val="26"/>
          <w:szCs w:val="26"/>
        </w:rPr>
        <w:footnoteReference w:id="173"/>
      </w:r>
      <w:r w:rsidR="002C1E5E" w:rsidRPr="00257ACB">
        <w:rPr>
          <w:rFonts w:ascii="Times New Roman" w:hAnsi="Times New Roman" w:cs="Times New Roman"/>
          <w:sz w:val="26"/>
          <w:szCs w:val="26"/>
        </w:rPr>
        <w:t xml:space="preserve"> </w:t>
      </w:r>
      <w:r w:rsidR="00CA29D0" w:rsidRPr="00257ACB">
        <w:rPr>
          <w:rFonts w:ascii="Times New Roman" w:hAnsi="Times New Roman" w:cs="Times New Roman"/>
          <w:sz w:val="26"/>
          <w:szCs w:val="26"/>
        </w:rPr>
        <w:t xml:space="preserve">More than this, </w:t>
      </w:r>
      <w:r w:rsidR="00D13817" w:rsidRPr="00257ACB">
        <w:rPr>
          <w:rFonts w:ascii="Times New Roman" w:hAnsi="Times New Roman" w:cs="Times New Roman"/>
          <w:sz w:val="26"/>
          <w:szCs w:val="26"/>
        </w:rPr>
        <w:t>there is a case where employers have begun to react to the changing legal landscape of worker protection,</w:t>
      </w:r>
      <w:r w:rsidR="000E0C34">
        <w:rPr>
          <w:rStyle w:val="ae"/>
          <w:rFonts w:ascii="Times New Roman" w:hAnsi="Times New Roman" w:cs="Times New Roman"/>
          <w:sz w:val="26"/>
          <w:szCs w:val="26"/>
        </w:rPr>
        <w:footnoteReference w:id="174"/>
      </w:r>
      <w:r w:rsidR="00D13817" w:rsidRPr="00257ACB">
        <w:rPr>
          <w:rFonts w:ascii="Times New Roman" w:hAnsi="Times New Roman" w:cs="Times New Roman"/>
          <w:sz w:val="26"/>
          <w:szCs w:val="26"/>
        </w:rPr>
        <w:t xml:space="preserve"> and insert explicit ‘no mutual obligations’ clauses into standard form contracts with Zero-Hours workers.</w:t>
      </w:r>
      <w:r w:rsidR="002F7D97" w:rsidRPr="00257ACB">
        <w:rPr>
          <w:rFonts w:ascii="Times New Roman" w:hAnsi="Times New Roman" w:cs="Times New Roman"/>
          <w:sz w:val="26"/>
          <w:szCs w:val="26"/>
        </w:rPr>
        <w:t xml:space="preserve"> This appeared for a while to be able successfully to deny any employment status, because ‘[s]o long as a document is clearly detailed, drafted and the worker sings freely […] it seem[ed] unlikely that employee status can be successfully asserted by </w:t>
      </w:r>
      <w:r w:rsidR="002F7D97" w:rsidRPr="00257ACB">
        <w:rPr>
          <w:rFonts w:ascii="Times New Roman" w:hAnsi="Times New Roman" w:cs="Times New Roman"/>
          <w:sz w:val="26"/>
          <w:szCs w:val="26"/>
        </w:rPr>
        <w:lastRenderedPageBreak/>
        <w:t>the worker.’</w:t>
      </w:r>
      <w:r w:rsidR="000E0C34">
        <w:rPr>
          <w:rStyle w:val="ae"/>
          <w:rFonts w:ascii="Times New Roman" w:hAnsi="Times New Roman" w:cs="Times New Roman"/>
          <w:sz w:val="26"/>
          <w:szCs w:val="26"/>
        </w:rPr>
        <w:footnoteReference w:id="175"/>
      </w:r>
      <w:r w:rsidR="007D7556" w:rsidRPr="00257ACB">
        <w:rPr>
          <w:rFonts w:ascii="Times New Roman" w:hAnsi="Times New Roman" w:cs="Times New Roman"/>
          <w:sz w:val="26"/>
          <w:szCs w:val="26"/>
        </w:rPr>
        <w:t xml:space="preserve"> </w:t>
      </w:r>
      <w:r w:rsidR="00CD23C7" w:rsidRPr="00257ACB">
        <w:rPr>
          <w:rFonts w:ascii="Times New Roman" w:hAnsi="Times New Roman" w:cs="Times New Roman"/>
          <w:sz w:val="26"/>
          <w:szCs w:val="26"/>
        </w:rPr>
        <w:t xml:space="preserve">However, today this kind of technique may no longer be successful, especially in the case of Zero-Hours clauses. In </w:t>
      </w:r>
      <w:proofErr w:type="spellStart"/>
      <w:r w:rsidR="00CD23C7" w:rsidRPr="00257ACB">
        <w:rPr>
          <w:rFonts w:ascii="Times New Roman" w:hAnsi="Times New Roman" w:cs="Times New Roman"/>
          <w:sz w:val="26"/>
          <w:szCs w:val="26"/>
        </w:rPr>
        <w:t>Autoclenz</w:t>
      </w:r>
      <w:proofErr w:type="spellEnd"/>
      <w:r w:rsidR="00532E5E" w:rsidRPr="00257ACB">
        <w:rPr>
          <w:rFonts w:ascii="Times New Roman" w:hAnsi="Times New Roman" w:cs="Times New Roman"/>
          <w:sz w:val="26"/>
          <w:szCs w:val="26"/>
        </w:rPr>
        <w:t>,</w:t>
      </w:r>
      <w:r w:rsidR="00CD23C7" w:rsidRPr="00257ACB">
        <w:rPr>
          <w:rFonts w:ascii="Times New Roman" w:hAnsi="Times New Roman" w:cs="Times New Roman"/>
          <w:sz w:val="26"/>
          <w:szCs w:val="26"/>
        </w:rPr>
        <w:t xml:space="preserve"> the Supreme Court</w:t>
      </w:r>
      <w:r w:rsidR="00532E5E" w:rsidRPr="00257ACB">
        <w:rPr>
          <w:rFonts w:ascii="Times New Roman" w:hAnsi="Times New Roman" w:cs="Times New Roman"/>
          <w:sz w:val="26"/>
          <w:szCs w:val="26"/>
        </w:rPr>
        <w:t xml:space="preserve"> addressed the issue of such explicit clauses (including ‘no-mutuality’ terms), and suggested that in case of any deviation in practice from a written Zero-Hours clauses, effect could be given to the parties’ ‘actual legal obligations’.</w:t>
      </w:r>
      <w:r w:rsidR="000E0C34">
        <w:rPr>
          <w:rStyle w:val="ae"/>
          <w:rFonts w:ascii="Times New Roman" w:hAnsi="Times New Roman" w:cs="Times New Roman"/>
          <w:sz w:val="26"/>
          <w:szCs w:val="26"/>
        </w:rPr>
        <w:footnoteReference w:id="176"/>
      </w:r>
      <w:r w:rsidR="00CD23C7" w:rsidRPr="00257ACB">
        <w:rPr>
          <w:rFonts w:ascii="Times New Roman" w:hAnsi="Times New Roman" w:cs="Times New Roman"/>
          <w:sz w:val="26"/>
          <w:szCs w:val="26"/>
        </w:rPr>
        <w:t xml:space="preserve"> </w:t>
      </w:r>
      <w:r w:rsidR="00532E5E" w:rsidRPr="00257ACB">
        <w:rPr>
          <w:rFonts w:ascii="Times New Roman" w:hAnsi="Times New Roman" w:cs="Times New Roman"/>
          <w:sz w:val="26"/>
          <w:szCs w:val="26"/>
        </w:rPr>
        <w:t xml:space="preserve"> This was in large part due to the </w:t>
      </w:r>
      <w:proofErr w:type="spellStart"/>
      <w:r w:rsidR="00532E5E" w:rsidRPr="00257ACB">
        <w:rPr>
          <w:rFonts w:ascii="Times New Roman" w:hAnsi="Times New Roman" w:cs="Times New Roman"/>
          <w:sz w:val="26"/>
          <w:szCs w:val="26"/>
        </w:rPr>
        <w:t>realisation</w:t>
      </w:r>
      <w:proofErr w:type="spellEnd"/>
      <w:r w:rsidR="00532E5E" w:rsidRPr="00257ACB">
        <w:rPr>
          <w:rFonts w:ascii="Times New Roman" w:hAnsi="Times New Roman" w:cs="Times New Roman"/>
          <w:sz w:val="26"/>
          <w:szCs w:val="26"/>
        </w:rPr>
        <w:t xml:space="preserve"> of the relational inequality inherent in ‘the relative bargaining power of the parties’</w:t>
      </w:r>
      <w:r w:rsidR="000E0C34">
        <w:rPr>
          <w:rStyle w:val="ae"/>
          <w:rFonts w:ascii="Times New Roman" w:hAnsi="Times New Roman" w:cs="Times New Roman"/>
          <w:sz w:val="26"/>
          <w:szCs w:val="26"/>
        </w:rPr>
        <w:footnoteReference w:id="177"/>
      </w:r>
      <w:r w:rsidR="00532E5E" w:rsidRPr="00257ACB">
        <w:rPr>
          <w:rFonts w:ascii="Times New Roman" w:hAnsi="Times New Roman" w:cs="Times New Roman"/>
          <w:sz w:val="26"/>
          <w:szCs w:val="26"/>
        </w:rPr>
        <w:t>, which will be particularly obvious in the sort of precarious work arrangements such as Zero-Hours works.</w:t>
      </w:r>
      <w:r w:rsidR="007A38E9" w:rsidRPr="00257ACB">
        <w:rPr>
          <w:rFonts w:ascii="Times New Roman" w:hAnsi="Times New Roman" w:cs="Times New Roman"/>
          <w:sz w:val="26"/>
          <w:szCs w:val="26"/>
        </w:rPr>
        <w:t xml:space="preserve"> </w:t>
      </w:r>
      <w:r w:rsidR="00A04D27" w:rsidRPr="00257ACB">
        <w:rPr>
          <w:rFonts w:ascii="Times New Roman" w:hAnsi="Times New Roman" w:cs="Times New Roman"/>
          <w:sz w:val="26"/>
          <w:szCs w:val="26"/>
        </w:rPr>
        <w:t xml:space="preserve">As </w:t>
      </w:r>
      <w:proofErr w:type="spellStart"/>
      <w:r w:rsidR="00A04D27" w:rsidRPr="00257ACB">
        <w:rPr>
          <w:rFonts w:ascii="Times New Roman" w:hAnsi="Times New Roman" w:cs="Times New Roman"/>
          <w:sz w:val="26"/>
          <w:szCs w:val="26"/>
        </w:rPr>
        <w:t>Bogg</w:t>
      </w:r>
      <w:proofErr w:type="spellEnd"/>
      <w:r w:rsidR="00A04D27" w:rsidRPr="00257ACB">
        <w:rPr>
          <w:rFonts w:ascii="Times New Roman" w:hAnsi="Times New Roman" w:cs="Times New Roman"/>
          <w:sz w:val="26"/>
          <w:szCs w:val="26"/>
        </w:rPr>
        <w:t xml:space="preserve"> has noted, ‘[w]here there is other relevant evidence that the ‘real agreement’ differed from the signed contract, for example the subsequent conduct of the parties, the court will evaluate that evidence and determine what was agreed.’</w:t>
      </w:r>
      <w:r w:rsidR="000E0C34">
        <w:rPr>
          <w:rStyle w:val="ae"/>
          <w:rFonts w:ascii="Times New Roman" w:hAnsi="Times New Roman" w:cs="Times New Roman"/>
          <w:sz w:val="26"/>
          <w:szCs w:val="26"/>
        </w:rPr>
        <w:footnoteReference w:id="178"/>
      </w:r>
      <w:r w:rsidR="00A04D27" w:rsidRPr="00257ACB">
        <w:rPr>
          <w:rFonts w:ascii="Times New Roman" w:hAnsi="Times New Roman" w:cs="Times New Roman"/>
          <w:sz w:val="26"/>
          <w:szCs w:val="26"/>
        </w:rPr>
        <w:t xml:space="preserve"> This approach </w:t>
      </w:r>
      <w:r w:rsidR="002432ED" w:rsidRPr="00257ACB">
        <w:rPr>
          <w:rFonts w:ascii="Times New Roman" w:hAnsi="Times New Roman" w:cs="Times New Roman"/>
          <w:sz w:val="26"/>
          <w:szCs w:val="26"/>
        </w:rPr>
        <w:t xml:space="preserve">can be shown in the recent decision of the EAT in </w:t>
      </w:r>
      <w:r w:rsidR="00A04D27" w:rsidRPr="00257ACB">
        <w:rPr>
          <w:rFonts w:ascii="Times New Roman" w:hAnsi="Times New Roman" w:cs="Times New Roman"/>
          <w:i/>
          <w:sz w:val="26"/>
          <w:szCs w:val="26"/>
        </w:rPr>
        <w:t>Pulse Healthcare</w:t>
      </w:r>
      <w:r w:rsidR="00A04D27" w:rsidRPr="00257ACB">
        <w:rPr>
          <w:rFonts w:ascii="Times New Roman" w:hAnsi="Times New Roman" w:cs="Times New Roman"/>
          <w:sz w:val="26"/>
          <w:szCs w:val="26"/>
        </w:rPr>
        <w:t xml:space="preserve">, </w:t>
      </w:r>
      <w:r w:rsidR="002432ED" w:rsidRPr="00257ACB">
        <w:rPr>
          <w:rFonts w:ascii="Times New Roman" w:hAnsi="Times New Roman" w:cs="Times New Roman"/>
          <w:sz w:val="26"/>
          <w:szCs w:val="26"/>
        </w:rPr>
        <w:t>in which</w:t>
      </w:r>
      <w:r w:rsidR="00A04D27" w:rsidRPr="00257ACB">
        <w:rPr>
          <w:rFonts w:ascii="Times New Roman" w:hAnsi="Times New Roman" w:cs="Times New Roman"/>
          <w:sz w:val="26"/>
          <w:szCs w:val="26"/>
        </w:rPr>
        <w:t xml:space="preserve"> a preliminary question as to Zero-Hours Contract workers’ employment status </w:t>
      </w:r>
      <w:r w:rsidR="002432ED" w:rsidRPr="00257ACB">
        <w:rPr>
          <w:rFonts w:ascii="Times New Roman" w:hAnsi="Times New Roman" w:cs="Times New Roman"/>
          <w:sz w:val="26"/>
          <w:szCs w:val="26"/>
        </w:rPr>
        <w:t>was raised</w:t>
      </w:r>
      <w:r w:rsidR="00A04D27" w:rsidRPr="00257ACB">
        <w:rPr>
          <w:rFonts w:ascii="Times New Roman" w:hAnsi="Times New Roman" w:cs="Times New Roman"/>
          <w:sz w:val="26"/>
          <w:szCs w:val="26"/>
        </w:rPr>
        <w:t xml:space="preserve"> in the context of the transfer of an undertaking. </w:t>
      </w:r>
      <w:r w:rsidR="00F32691" w:rsidRPr="00257ACB">
        <w:rPr>
          <w:rFonts w:ascii="Times New Roman" w:hAnsi="Times New Roman" w:cs="Times New Roman"/>
          <w:sz w:val="26"/>
          <w:szCs w:val="26"/>
        </w:rPr>
        <w:t>The claimant care workers had provided intensive medical support under a ‘Zero-Hours Contract Agreement’ which ‘the Emp</w:t>
      </w:r>
      <w:r w:rsidR="002432ED" w:rsidRPr="00257ACB">
        <w:rPr>
          <w:rFonts w:ascii="Times New Roman" w:hAnsi="Times New Roman" w:cs="Times New Roman"/>
          <w:sz w:val="26"/>
          <w:szCs w:val="26"/>
        </w:rPr>
        <w:t>l</w:t>
      </w:r>
      <w:r w:rsidR="00F32691" w:rsidRPr="00257ACB">
        <w:rPr>
          <w:rFonts w:ascii="Times New Roman" w:hAnsi="Times New Roman" w:cs="Times New Roman"/>
          <w:sz w:val="26"/>
          <w:szCs w:val="26"/>
        </w:rPr>
        <w:t>oyment Judge was […] entirely justified in saying […] did not reflect the true agreement between the parties’</w:t>
      </w:r>
      <w:r w:rsidR="000E0C34">
        <w:rPr>
          <w:rStyle w:val="ae"/>
          <w:rFonts w:ascii="Times New Roman" w:hAnsi="Times New Roman" w:cs="Times New Roman"/>
          <w:sz w:val="26"/>
          <w:szCs w:val="26"/>
        </w:rPr>
        <w:footnoteReference w:id="179"/>
      </w:r>
      <w:r w:rsidR="002432ED" w:rsidRPr="00257ACB">
        <w:rPr>
          <w:rFonts w:ascii="Times New Roman" w:hAnsi="Times New Roman" w:cs="Times New Roman"/>
          <w:sz w:val="26"/>
          <w:szCs w:val="26"/>
        </w:rPr>
        <w:t xml:space="preserve"> </w:t>
      </w:r>
      <w:r w:rsidR="00850AF6" w:rsidRPr="00257ACB">
        <w:rPr>
          <w:rFonts w:ascii="Times New Roman" w:hAnsi="Times New Roman" w:cs="Times New Roman"/>
          <w:sz w:val="26"/>
          <w:szCs w:val="26"/>
        </w:rPr>
        <w:t>The work arrangement in question was from the outset or had over time become one in which the parties are subject to some degree of continuing mutual obligation with regard to the provision of work and the doing of work as offered.</w:t>
      </w:r>
    </w:p>
    <w:p w14:paraId="01E6CDFB" w14:textId="77777777" w:rsidR="000E76D0" w:rsidRPr="00DE3DAA" w:rsidRDefault="000E76D0" w:rsidP="00FC4102">
      <w:pPr>
        <w:pStyle w:val="a3"/>
        <w:ind w:leftChars="500" w:left="1000"/>
        <w:rPr>
          <w:rFonts w:ascii="Times New Roman" w:hAnsi="Times New Roman" w:cs="Times New Roman"/>
          <w:sz w:val="26"/>
          <w:szCs w:val="26"/>
        </w:rPr>
      </w:pPr>
    </w:p>
    <w:p w14:paraId="1F6F90F9" w14:textId="4002EF19" w:rsidR="005A5D69" w:rsidRPr="00DE3DAA" w:rsidRDefault="00C43A93" w:rsidP="00A732C5">
      <w:pPr>
        <w:pStyle w:val="a3"/>
        <w:numPr>
          <w:ilvl w:val="0"/>
          <w:numId w:val="7"/>
        </w:numPr>
        <w:ind w:leftChars="0"/>
        <w:rPr>
          <w:rFonts w:ascii="Times New Roman" w:hAnsi="Times New Roman" w:cs="Times New Roman"/>
          <w:sz w:val="26"/>
          <w:szCs w:val="26"/>
        </w:rPr>
      </w:pPr>
      <w:r w:rsidRPr="00DE3DAA">
        <w:rPr>
          <w:rFonts w:ascii="Times New Roman" w:hAnsi="Times New Roman" w:cs="Times New Roman"/>
          <w:sz w:val="26"/>
          <w:szCs w:val="26"/>
        </w:rPr>
        <w:t xml:space="preserve">The overview of current </w:t>
      </w:r>
      <w:proofErr w:type="spellStart"/>
      <w:r w:rsidRPr="00DE3DAA">
        <w:rPr>
          <w:rFonts w:ascii="Times New Roman" w:hAnsi="Times New Roman" w:cs="Times New Roman"/>
          <w:sz w:val="26"/>
          <w:szCs w:val="26"/>
        </w:rPr>
        <w:t>labour</w:t>
      </w:r>
      <w:proofErr w:type="spellEnd"/>
      <w:r w:rsidRPr="00DE3DAA">
        <w:rPr>
          <w:rFonts w:ascii="Times New Roman" w:hAnsi="Times New Roman" w:cs="Times New Roman"/>
          <w:sz w:val="26"/>
          <w:szCs w:val="26"/>
        </w:rPr>
        <w:t xml:space="preserve"> </w:t>
      </w:r>
      <w:r w:rsidR="00F83172" w:rsidRPr="00DE3DAA">
        <w:rPr>
          <w:rFonts w:ascii="Times New Roman" w:hAnsi="Times New Roman" w:cs="Times New Roman"/>
          <w:sz w:val="26"/>
          <w:szCs w:val="26"/>
        </w:rPr>
        <w:t xml:space="preserve">policy </w:t>
      </w:r>
      <w:r w:rsidRPr="00DE3DAA">
        <w:rPr>
          <w:rFonts w:ascii="Times New Roman" w:hAnsi="Times New Roman" w:cs="Times New Roman"/>
          <w:sz w:val="26"/>
          <w:szCs w:val="26"/>
        </w:rPr>
        <w:t xml:space="preserve">structure </w:t>
      </w:r>
      <w:r w:rsidR="008D57B0" w:rsidRPr="00DE3DAA">
        <w:rPr>
          <w:rFonts w:ascii="Times New Roman" w:hAnsi="Times New Roman" w:cs="Times New Roman"/>
          <w:sz w:val="26"/>
          <w:szCs w:val="26"/>
        </w:rPr>
        <w:t xml:space="preserve">of the UK </w:t>
      </w:r>
      <w:r w:rsidRPr="00DE3DAA">
        <w:rPr>
          <w:rFonts w:ascii="Times New Roman" w:hAnsi="Times New Roman" w:cs="Times New Roman"/>
          <w:sz w:val="26"/>
          <w:szCs w:val="26"/>
        </w:rPr>
        <w:t>and the development</w:t>
      </w:r>
      <w:r w:rsidR="008D57B0" w:rsidRPr="00DE3DAA">
        <w:rPr>
          <w:rFonts w:ascii="Times New Roman" w:hAnsi="Times New Roman" w:cs="Times New Roman"/>
          <w:sz w:val="26"/>
          <w:szCs w:val="26"/>
        </w:rPr>
        <w:t xml:space="preserve"> history</w:t>
      </w:r>
      <w:r w:rsidRPr="00DE3DAA">
        <w:rPr>
          <w:rFonts w:ascii="Times New Roman" w:hAnsi="Times New Roman" w:cs="Times New Roman"/>
          <w:sz w:val="26"/>
          <w:szCs w:val="26"/>
        </w:rPr>
        <w:t xml:space="preserve"> </w:t>
      </w:r>
      <w:r w:rsidR="008D57B0" w:rsidRPr="00DE3DAA">
        <w:rPr>
          <w:rFonts w:ascii="Times New Roman" w:hAnsi="Times New Roman" w:cs="Times New Roman"/>
          <w:sz w:val="26"/>
          <w:szCs w:val="26"/>
        </w:rPr>
        <w:t xml:space="preserve">for the fair and equal regulation of </w:t>
      </w:r>
      <w:proofErr w:type="spellStart"/>
      <w:r w:rsidR="008D57B0" w:rsidRPr="00DE3DAA">
        <w:rPr>
          <w:rFonts w:ascii="Times New Roman" w:hAnsi="Times New Roman" w:cs="Times New Roman"/>
          <w:sz w:val="26"/>
          <w:szCs w:val="26"/>
        </w:rPr>
        <w:t>labour</w:t>
      </w:r>
      <w:proofErr w:type="spellEnd"/>
      <w:r w:rsidR="008D57B0" w:rsidRPr="00DE3DAA">
        <w:rPr>
          <w:rFonts w:ascii="Times New Roman" w:hAnsi="Times New Roman" w:cs="Times New Roman"/>
          <w:sz w:val="26"/>
          <w:szCs w:val="26"/>
        </w:rPr>
        <w:t xml:space="preserve"> market</w:t>
      </w:r>
      <w:r w:rsidR="00F83172" w:rsidRPr="00DE3DAA">
        <w:rPr>
          <w:rFonts w:ascii="Times New Roman" w:hAnsi="Times New Roman" w:cs="Times New Roman"/>
          <w:sz w:val="26"/>
          <w:szCs w:val="26"/>
        </w:rPr>
        <w:t xml:space="preserve"> </w:t>
      </w:r>
    </w:p>
    <w:p w14:paraId="4B9B69AC" w14:textId="77777777" w:rsidR="00CF6075" w:rsidRPr="00DE3DAA" w:rsidRDefault="00CF6075" w:rsidP="00CF6075">
      <w:pPr>
        <w:pStyle w:val="a3"/>
        <w:ind w:leftChars="0" w:left="1200"/>
        <w:rPr>
          <w:rFonts w:ascii="Times New Roman" w:hAnsi="Times New Roman" w:cs="Times New Roman"/>
          <w:sz w:val="26"/>
          <w:szCs w:val="26"/>
        </w:rPr>
      </w:pPr>
    </w:p>
    <w:p w14:paraId="337DB532" w14:textId="14DFF89C" w:rsidR="004662A0" w:rsidRPr="00DE3DAA" w:rsidRDefault="00107BD1" w:rsidP="00A52304">
      <w:pPr>
        <w:pStyle w:val="a3"/>
        <w:numPr>
          <w:ilvl w:val="0"/>
          <w:numId w:val="18"/>
        </w:numPr>
        <w:ind w:leftChars="0"/>
        <w:rPr>
          <w:rFonts w:ascii="Times New Roman" w:hAnsi="Times New Roman" w:cs="Times New Roman"/>
          <w:sz w:val="26"/>
          <w:szCs w:val="26"/>
        </w:rPr>
      </w:pPr>
      <w:r w:rsidRPr="00DE3DAA">
        <w:rPr>
          <w:rFonts w:ascii="Times New Roman" w:hAnsi="Times New Roman" w:cs="Times New Roman"/>
          <w:sz w:val="26"/>
          <w:szCs w:val="26"/>
        </w:rPr>
        <w:tab/>
      </w:r>
      <w:r w:rsidR="00F04349" w:rsidRPr="00DE3DAA">
        <w:rPr>
          <w:rFonts w:ascii="Times New Roman" w:hAnsi="Times New Roman" w:cs="Times New Roman"/>
          <w:sz w:val="26"/>
          <w:szCs w:val="26"/>
        </w:rPr>
        <w:t xml:space="preserve">A brief history of </w:t>
      </w:r>
      <w:proofErr w:type="spellStart"/>
      <w:r w:rsidR="00F04349" w:rsidRPr="00DE3DAA">
        <w:rPr>
          <w:rFonts w:ascii="Times New Roman" w:hAnsi="Times New Roman" w:cs="Times New Roman"/>
          <w:sz w:val="26"/>
          <w:szCs w:val="26"/>
        </w:rPr>
        <w:t>labour</w:t>
      </w:r>
      <w:proofErr w:type="spellEnd"/>
      <w:r w:rsidR="00F04349" w:rsidRPr="00DE3DAA">
        <w:rPr>
          <w:rFonts w:ascii="Times New Roman" w:hAnsi="Times New Roman" w:cs="Times New Roman"/>
          <w:sz w:val="26"/>
          <w:szCs w:val="26"/>
        </w:rPr>
        <w:t xml:space="preserve"> law </w:t>
      </w:r>
      <w:r w:rsidR="00EE6C7E" w:rsidRPr="00DE3DAA">
        <w:rPr>
          <w:rFonts w:ascii="Times New Roman" w:hAnsi="Times New Roman" w:cs="Times New Roman"/>
          <w:sz w:val="26"/>
          <w:szCs w:val="26"/>
        </w:rPr>
        <w:t xml:space="preserve">development </w:t>
      </w:r>
      <w:r w:rsidR="00F04349" w:rsidRPr="00DE3DAA">
        <w:rPr>
          <w:rFonts w:ascii="Times New Roman" w:hAnsi="Times New Roman" w:cs="Times New Roman"/>
          <w:sz w:val="26"/>
          <w:szCs w:val="26"/>
        </w:rPr>
        <w:t>in the UK</w:t>
      </w:r>
      <w:r w:rsidR="0015660F" w:rsidRPr="00DE3DAA">
        <w:rPr>
          <w:rFonts w:ascii="Times New Roman" w:hAnsi="Times New Roman" w:cs="Times New Roman"/>
          <w:sz w:val="26"/>
          <w:szCs w:val="26"/>
        </w:rPr>
        <w:t xml:space="preserve"> for the fairness and equality of </w:t>
      </w:r>
      <w:proofErr w:type="spellStart"/>
      <w:r w:rsidR="0015660F" w:rsidRPr="00DE3DAA">
        <w:rPr>
          <w:rFonts w:ascii="Times New Roman" w:hAnsi="Times New Roman" w:cs="Times New Roman"/>
          <w:sz w:val="26"/>
          <w:szCs w:val="26"/>
        </w:rPr>
        <w:t>labour</w:t>
      </w:r>
      <w:proofErr w:type="spellEnd"/>
      <w:r w:rsidR="0015660F" w:rsidRPr="00DE3DAA">
        <w:rPr>
          <w:rFonts w:ascii="Times New Roman" w:hAnsi="Times New Roman" w:cs="Times New Roman"/>
          <w:sz w:val="26"/>
          <w:szCs w:val="26"/>
        </w:rPr>
        <w:t xml:space="preserve"> market</w:t>
      </w:r>
    </w:p>
    <w:p w14:paraId="6F51331D" w14:textId="10C4C516" w:rsidR="00242DF7" w:rsidRPr="00DE3DAA" w:rsidRDefault="00F93200" w:rsidP="004245B4">
      <w:pPr>
        <w:pStyle w:val="a3"/>
        <w:numPr>
          <w:ilvl w:val="0"/>
          <w:numId w:val="19"/>
        </w:numPr>
        <w:ind w:leftChars="0"/>
        <w:rPr>
          <w:rFonts w:ascii="Times New Roman" w:hAnsi="Times New Roman" w:cs="Times New Roman"/>
          <w:sz w:val="26"/>
          <w:szCs w:val="26"/>
        </w:rPr>
      </w:pPr>
      <w:r w:rsidRPr="00DE3DAA">
        <w:rPr>
          <w:rFonts w:ascii="Times New Roman" w:hAnsi="Times New Roman" w:cs="Times New Roman"/>
          <w:sz w:val="26"/>
          <w:szCs w:val="26"/>
        </w:rPr>
        <w:t xml:space="preserve">The </w:t>
      </w:r>
      <w:r w:rsidR="00DB6E0A" w:rsidRPr="00DE3DAA">
        <w:rPr>
          <w:rFonts w:ascii="Times New Roman" w:hAnsi="Times New Roman" w:cs="Times New Roman"/>
          <w:sz w:val="26"/>
          <w:szCs w:val="26"/>
        </w:rPr>
        <w:t xml:space="preserve">ends or purposes of </w:t>
      </w:r>
      <w:proofErr w:type="spellStart"/>
      <w:r w:rsidR="00DB6E0A" w:rsidRPr="00DE3DAA">
        <w:rPr>
          <w:rFonts w:ascii="Times New Roman" w:hAnsi="Times New Roman" w:cs="Times New Roman"/>
          <w:sz w:val="26"/>
          <w:szCs w:val="26"/>
        </w:rPr>
        <w:t>labour</w:t>
      </w:r>
      <w:proofErr w:type="spellEnd"/>
      <w:r w:rsidR="00DB6E0A" w:rsidRPr="00DE3DAA">
        <w:rPr>
          <w:rFonts w:ascii="Times New Roman" w:hAnsi="Times New Roman" w:cs="Times New Roman"/>
          <w:sz w:val="26"/>
          <w:szCs w:val="26"/>
        </w:rPr>
        <w:t xml:space="preserve"> law </w:t>
      </w:r>
      <w:r w:rsidRPr="00DE3DAA">
        <w:rPr>
          <w:rFonts w:ascii="Times New Roman" w:hAnsi="Times New Roman" w:cs="Times New Roman"/>
          <w:sz w:val="26"/>
          <w:szCs w:val="26"/>
        </w:rPr>
        <w:t>in the UK since 1960s onwards</w:t>
      </w:r>
    </w:p>
    <w:p w14:paraId="7AA3C458" w14:textId="7FEE1465" w:rsidR="00BB0618" w:rsidRPr="00DE3DAA" w:rsidRDefault="00BB0591" w:rsidP="00F04349">
      <w:pPr>
        <w:pStyle w:val="a3"/>
        <w:ind w:leftChars="0" w:left="1520"/>
        <w:rPr>
          <w:rFonts w:ascii="Times New Roman" w:hAnsi="Times New Roman" w:cs="Times New Roman"/>
          <w:sz w:val="26"/>
          <w:szCs w:val="26"/>
        </w:rPr>
      </w:pPr>
      <w:r w:rsidRPr="00DE3DAA">
        <w:rPr>
          <w:rFonts w:ascii="Times New Roman" w:hAnsi="Times New Roman" w:cs="Times New Roman"/>
          <w:sz w:val="26"/>
          <w:szCs w:val="26"/>
        </w:rPr>
        <w:t xml:space="preserve">In the UK, it has been </w:t>
      </w:r>
      <w:proofErr w:type="spellStart"/>
      <w:r w:rsidR="00284AF3" w:rsidRPr="00DE3DAA">
        <w:rPr>
          <w:rFonts w:ascii="Times New Roman" w:hAnsi="Times New Roman" w:cs="Times New Roman"/>
          <w:sz w:val="26"/>
          <w:szCs w:val="26"/>
        </w:rPr>
        <w:t>analysed</w:t>
      </w:r>
      <w:proofErr w:type="spellEnd"/>
      <w:r w:rsidRPr="00DE3DAA">
        <w:rPr>
          <w:rFonts w:ascii="Times New Roman" w:hAnsi="Times New Roman" w:cs="Times New Roman"/>
          <w:sz w:val="26"/>
          <w:szCs w:val="26"/>
        </w:rPr>
        <w:t xml:space="preserve"> that </w:t>
      </w:r>
      <w:r w:rsidR="00BB0618" w:rsidRPr="00DE3DAA">
        <w:rPr>
          <w:rFonts w:ascii="Times New Roman" w:hAnsi="Times New Roman" w:cs="Times New Roman"/>
          <w:sz w:val="26"/>
          <w:szCs w:val="26"/>
        </w:rPr>
        <w:t xml:space="preserve">although </w:t>
      </w:r>
      <w:r w:rsidRPr="00DE3DAA">
        <w:rPr>
          <w:rFonts w:ascii="Times New Roman" w:hAnsi="Times New Roman" w:cs="Times New Roman"/>
          <w:sz w:val="26"/>
          <w:szCs w:val="26"/>
        </w:rPr>
        <w:t xml:space="preserve">high level of legislative activism started from the mid-1960s and continued to </w:t>
      </w:r>
      <w:r w:rsidR="0058683C" w:rsidRPr="00DE3DAA">
        <w:rPr>
          <w:rFonts w:ascii="Times New Roman" w:hAnsi="Times New Roman" w:cs="Times New Roman"/>
          <w:sz w:val="26"/>
          <w:szCs w:val="26"/>
        </w:rPr>
        <w:t>illustrate</w:t>
      </w:r>
      <w:r w:rsidR="00BB0618" w:rsidRPr="00DE3DAA">
        <w:rPr>
          <w:rFonts w:ascii="Times New Roman" w:hAnsi="Times New Roman" w:cs="Times New Roman"/>
          <w:sz w:val="26"/>
          <w:szCs w:val="26"/>
        </w:rPr>
        <w:t xml:space="preserve"> itself from the 1970s to </w:t>
      </w:r>
      <w:r w:rsidR="00BB0618" w:rsidRPr="00DE3DAA">
        <w:rPr>
          <w:rFonts w:ascii="Times New Roman" w:hAnsi="Times New Roman" w:cs="Times New Roman"/>
          <w:sz w:val="26"/>
          <w:szCs w:val="26"/>
        </w:rPr>
        <w:lastRenderedPageBreak/>
        <w:t xml:space="preserve">the 1990s, that activity is very </w:t>
      </w:r>
      <w:r w:rsidR="00284AF3" w:rsidRPr="00DE3DAA">
        <w:rPr>
          <w:rFonts w:ascii="Times New Roman" w:hAnsi="Times New Roman" w:cs="Times New Roman"/>
          <w:sz w:val="26"/>
          <w:szCs w:val="26"/>
        </w:rPr>
        <w:t>significant</w:t>
      </w:r>
      <w:r w:rsidR="00BB0618" w:rsidRPr="00DE3DAA">
        <w:rPr>
          <w:rFonts w:ascii="Times New Roman" w:hAnsi="Times New Roman" w:cs="Times New Roman"/>
          <w:sz w:val="26"/>
          <w:szCs w:val="26"/>
        </w:rPr>
        <w:t xml:space="preserve"> one</w:t>
      </w:r>
      <w:r w:rsidR="0058683C" w:rsidRPr="00DE3DAA">
        <w:rPr>
          <w:rFonts w:ascii="Times New Roman" w:hAnsi="Times New Roman" w:cs="Times New Roman"/>
          <w:sz w:val="26"/>
          <w:szCs w:val="26"/>
        </w:rPr>
        <w:t xml:space="preserve"> since the New </w:t>
      </w:r>
      <w:proofErr w:type="spellStart"/>
      <w:r w:rsidR="0058683C" w:rsidRPr="00DE3DAA">
        <w:rPr>
          <w:rFonts w:ascii="Times New Roman" w:hAnsi="Times New Roman" w:cs="Times New Roman"/>
          <w:sz w:val="26"/>
          <w:szCs w:val="26"/>
        </w:rPr>
        <w:t>Labour</w:t>
      </w:r>
      <w:proofErr w:type="spellEnd"/>
      <w:r w:rsidR="0058683C" w:rsidRPr="00DE3DAA">
        <w:rPr>
          <w:rFonts w:ascii="Times New Roman" w:hAnsi="Times New Roman" w:cs="Times New Roman"/>
          <w:sz w:val="26"/>
          <w:szCs w:val="26"/>
        </w:rPr>
        <w:t xml:space="preserve"> administration came to power in 1997 under the Prime </w:t>
      </w:r>
      <w:proofErr w:type="spellStart"/>
      <w:r w:rsidR="0058683C" w:rsidRPr="00DE3DAA">
        <w:rPr>
          <w:rFonts w:ascii="Times New Roman" w:hAnsi="Times New Roman" w:cs="Times New Roman"/>
          <w:sz w:val="26"/>
          <w:szCs w:val="26"/>
        </w:rPr>
        <w:t>Ministe</w:t>
      </w:r>
      <w:r w:rsidR="00D01348" w:rsidRPr="00DE3DAA">
        <w:rPr>
          <w:rFonts w:ascii="Times New Roman" w:hAnsi="Times New Roman" w:cs="Times New Roman"/>
          <w:sz w:val="26"/>
          <w:szCs w:val="26"/>
        </w:rPr>
        <w:t>rship</w:t>
      </w:r>
      <w:proofErr w:type="spellEnd"/>
      <w:r w:rsidR="00D01348" w:rsidRPr="00DE3DAA">
        <w:rPr>
          <w:rFonts w:ascii="Times New Roman" w:hAnsi="Times New Roman" w:cs="Times New Roman"/>
          <w:sz w:val="26"/>
          <w:szCs w:val="26"/>
        </w:rPr>
        <w:t xml:space="preserve"> of </w:t>
      </w:r>
      <w:proofErr w:type="spellStart"/>
      <w:r w:rsidR="00D01348" w:rsidRPr="00DE3DAA">
        <w:rPr>
          <w:rFonts w:ascii="Times New Roman" w:hAnsi="Times New Roman" w:cs="Times New Roman"/>
          <w:sz w:val="26"/>
          <w:szCs w:val="26"/>
        </w:rPr>
        <w:t>Mr</w:t>
      </w:r>
      <w:proofErr w:type="spellEnd"/>
      <w:r w:rsidR="00D01348" w:rsidRPr="00DE3DAA">
        <w:rPr>
          <w:rFonts w:ascii="Times New Roman" w:hAnsi="Times New Roman" w:cs="Times New Roman"/>
          <w:sz w:val="26"/>
          <w:szCs w:val="26"/>
        </w:rPr>
        <w:t xml:space="preserve"> Tony Blair</w:t>
      </w:r>
      <w:r w:rsidR="00BB0618" w:rsidRPr="00DE3DAA">
        <w:rPr>
          <w:rFonts w:ascii="Times New Roman" w:hAnsi="Times New Roman" w:cs="Times New Roman"/>
          <w:sz w:val="26"/>
          <w:szCs w:val="26"/>
        </w:rPr>
        <w:t>, both in absolute terms and in proportion to that of the earlier period as a whole.</w:t>
      </w:r>
      <w:r w:rsidR="000E0C34" w:rsidRPr="00DE3DAA">
        <w:rPr>
          <w:rStyle w:val="ae"/>
          <w:rFonts w:ascii="Times New Roman" w:hAnsi="Times New Roman" w:cs="Times New Roman"/>
          <w:sz w:val="26"/>
          <w:szCs w:val="26"/>
        </w:rPr>
        <w:footnoteReference w:id="180"/>
      </w:r>
      <w:r w:rsidR="00F72199" w:rsidRPr="00DE3DAA">
        <w:rPr>
          <w:rFonts w:ascii="Times New Roman" w:hAnsi="Times New Roman" w:cs="Times New Roman"/>
          <w:sz w:val="26"/>
          <w:szCs w:val="26"/>
        </w:rPr>
        <w:t xml:space="preserve"> </w:t>
      </w:r>
      <w:r w:rsidR="0022661C" w:rsidRPr="00DE3DAA">
        <w:rPr>
          <w:rFonts w:ascii="Times New Roman" w:hAnsi="Times New Roman" w:cs="Times New Roman"/>
          <w:sz w:val="26"/>
          <w:szCs w:val="26"/>
        </w:rPr>
        <w:t>This story</w:t>
      </w:r>
      <w:r w:rsidR="004245B4" w:rsidRPr="00DE3DAA">
        <w:rPr>
          <w:rFonts w:ascii="Times New Roman" w:hAnsi="Times New Roman" w:cs="Times New Roman"/>
          <w:sz w:val="26"/>
          <w:szCs w:val="26"/>
        </w:rPr>
        <w:t xml:space="preserve"> of </w:t>
      </w:r>
      <w:proofErr w:type="spellStart"/>
      <w:r w:rsidR="004245B4" w:rsidRPr="00DE3DAA">
        <w:rPr>
          <w:rFonts w:ascii="Times New Roman" w:hAnsi="Times New Roman" w:cs="Times New Roman"/>
          <w:sz w:val="26"/>
          <w:szCs w:val="26"/>
        </w:rPr>
        <w:t>labour</w:t>
      </w:r>
      <w:proofErr w:type="spellEnd"/>
      <w:r w:rsidR="004245B4" w:rsidRPr="00DE3DAA">
        <w:rPr>
          <w:rFonts w:ascii="Times New Roman" w:hAnsi="Times New Roman" w:cs="Times New Roman"/>
          <w:sz w:val="26"/>
          <w:szCs w:val="26"/>
        </w:rPr>
        <w:t xml:space="preserve"> legislation and public policy from the 1960s onwards can be </w:t>
      </w:r>
      <w:r w:rsidR="0022661C" w:rsidRPr="00DE3DAA">
        <w:rPr>
          <w:rFonts w:ascii="Times New Roman" w:hAnsi="Times New Roman" w:cs="Times New Roman"/>
          <w:sz w:val="26"/>
          <w:szCs w:val="26"/>
        </w:rPr>
        <w:t xml:space="preserve">viewed as </w:t>
      </w:r>
      <w:r w:rsidR="004245B4" w:rsidRPr="00DE3DAA">
        <w:rPr>
          <w:rFonts w:ascii="Times New Roman" w:hAnsi="Times New Roman" w:cs="Times New Roman"/>
          <w:sz w:val="26"/>
          <w:szCs w:val="26"/>
        </w:rPr>
        <w:t xml:space="preserve">one of changing </w:t>
      </w:r>
      <w:proofErr w:type="spellStart"/>
      <w:r w:rsidR="004245B4" w:rsidRPr="00DE3DAA">
        <w:rPr>
          <w:rFonts w:ascii="Times New Roman" w:hAnsi="Times New Roman" w:cs="Times New Roman"/>
          <w:sz w:val="26"/>
          <w:szCs w:val="26"/>
        </w:rPr>
        <w:t>polical</w:t>
      </w:r>
      <w:proofErr w:type="spellEnd"/>
      <w:r w:rsidR="004245B4" w:rsidRPr="00DE3DAA">
        <w:rPr>
          <w:rFonts w:ascii="Times New Roman" w:hAnsi="Times New Roman" w:cs="Times New Roman"/>
          <w:sz w:val="26"/>
          <w:szCs w:val="26"/>
        </w:rPr>
        <w:t xml:space="preserve"> judgments as to what was desirable or sustainable balance of </w:t>
      </w:r>
      <w:r w:rsidR="0022661C" w:rsidRPr="00DE3DAA">
        <w:rPr>
          <w:rFonts w:ascii="Times New Roman" w:hAnsi="Times New Roman" w:cs="Times New Roman"/>
          <w:sz w:val="26"/>
          <w:szCs w:val="26"/>
        </w:rPr>
        <w:t xml:space="preserve">the </w:t>
      </w:r>
      <w:r w:rsidR="004245B4" w:rsidRPr="00DE3DAA">
        <w:rPr>
          <w:rFonts w:ascii="Times New Roman" w:hAnsi="Times New Roman" w:cs="Times New Roman"/>
          <w:sz w:val="26"/>
          <w:szCs w:val="26"/>
        </w:rPr>
        <w:t>bargaining power</w:t>
      </w:r>
      <w:r w:rsidR="0022661C" w:rsidRPr="00DE3DAA">
        <w:rPr>
          <w:rFonts w:ascii="Times New Roman" w:hAnsi="Times New Roman" w:cs="Times New Roman"/>
          <w:sz w:val="26"/>
          <w:szCs w:val="26"/>
        </w:rPr>
        <w:t xml:space="preserve"> between employers and workers</w:t>
      </w:r>
      <w:r w:rsidR="004245B4" w:rsidRPr="00DE3DAA">
        <w:rPr>
          <w:rFonts w:ascii="Times New Roman" w:hAnsi="Times New Roman" w:cs="Times New Roman"/>
          <w:sz w:val="26"/>
          <w:szCs w:val="26"/>
        </w:rPr>
        <w:t>, and a generally increasing resort to legislative intervention in order to reflect those changes in outlook.</w:t>
      </w:r>
      <w:r w:rsidR="000E0C34" w:rsidRPr="00DE3DAA">
        <w:rPr>
          <w:rStyle w:val="ae"/>
          <w:rFonts w:ascii="Times New Roman" w:hAnsi="Times New Roman" w:cs="Times New Roman"/>
          <w:sz w:val="26"/>
          <w:szCs w:val="26"/>
        </w:rPr>
        <w:footnoteReference w:id="181"/>
      </w:r>
      <w:r w:rsidR="004D4E95" w:rsidRPr="00DE3DAA">
        <w:rPr>
          <w:rFonts w:ascii="Times New Roman" w:hAnsi="Times New Roman" w:cs="Times New Roman"/>
          <w:sz w:val="26"/>
          <w:szCs w:val="26"/>
        </w:rPr>
        <w:t xml:space="preserve"> </w:t>
      </w:r>
      <w:r w:rsidR="005E3C9D" w:rsidRPr="00DE3DAA">
        <w:rPr>
          <w:rFonts w:ascii="Times New Roman" w:hAnsi="Times New Roman" w:cs="Times New Roman"/>
          <w:sz w:val="26"/>
          <w:szCs w:val="26"/>
        </w:rPr>
        <w:t>It can be said th</w:t>
      </w:r>
      <w:r w:rsidR="004D4E95" w:rsidRPr="00DE3DAA">
        <w:rPr>
          <w:rFonts w:ascii="Times New Roman" w:hAnsi="Times New Roman" w:cs="Times New Roman"/>
          <w:sz w:val="26"/>
          <w:szCs w:val="26"/>
        </w:rPr>
        <w:t>ose shifts of perception, especially as</w:t>
      </w:r>
      <w:r w:rsidR="003C0000" w:rsidRPr="00DE3DAA">
        <w:rPr>
          <w:rFonts w:ascii="Times New Roman" w:hAnsi="Times New Roman" w:cs="Times New Roman"/>
          <w:sz w:val="26"/>
          <w:szCs w:val="26"/>
        </w:rPr>
        <w:t xml:space="preserve"> they occurred from the mid-1960s onwards, generated what could be regarded as different ways of correcting inequality of power in employment relations.</w:t>
      </w:r>
      <w:r w:rsidR="000E0C34" w:rsidRPr="00DE3DAA">
        <w:rPr>
          <w:rStyle w:val="ae"/>
          <w:rFonts w:ascii="Times New Roman" w:hAnsi="Times New Roman" w:cs="Times New Roman"/>
          <w:sz w:val="26"/>
          <w:szCs w:val="26"/>
        </w:rPr>
        <w:footnoteReference w:id="182"/>
      </w:r>
      <w:r w:rsidR="00D14352" w:rsidRPr="00DE3DAA">
        <w:rPr>
          <w:rFonts w:ascii="Times New Roman" w:hAnsi="Times New Roman" w:cs="Times New Roman"/>
          <w:sz w:val="26"/>
          <w:szCs w:val="26"/>
        </w:rPr>
        <w:t xml:space="preserve"> One</w:t>
      </w:r>
      <w:r w:rsidR="009B7EDD" w:rsidRPr="00DE3DAA">
        <w:rPr>
          <w:rFonts w:ascii="Times New Roman" w:hAnsi="Times New Roman" w:cs="Times New Roman"/>
          <w:sz w:val="26"/>
          <w:szCs w:val="26"/>
        </w:rPr>
        <w:t xml:space="preserve"> mode</w:t>
      </w:r>
      <w:r w:rsidR="00D14352" w:rsidRPr="00DE3DAA">
        <w:rPr>
          <w:rFonts w:ascii="Times New Roman" w:hAnsi="Times New Roman" w:cs="Times New Roman"/>
          <w:sz w:val="26"/>
          <w:szCs w:val="26"/>
        </w:rPr>
        <w:t xml:space="preserve"> </w:t>
      </w:r>
      <w:r w:rsidR="00FC3A51" w:rsidRPr="00DE3DAA">
        <w:rPr>
          <w:rFonts w:ascii="Times New Roman" w:hAnsi="Times New Roman" w:cs="Times New Roman"/>
          <w:sz w:val="26"/>
          <w:szCs w:val="26"/>
        </w:rPr>
        <w:t xml:space="preserve">was to consist of using </w:t>
      </w:r>
      <w:proofErr w:type="spellStart"/>
      <w:r w:rsidR="00FC3A51" w:rsidRPr="00DE3DAA">
        <w:rPr>
          <w:rFonts w:ascii="Times New Roman" w:hAnsi="Times New Roman" w:cs="Times New Roman"/>
          <w:sz w:val="26"/>
          <w:szCs w:val="26"/>
        </w:rPr>
        <w:t>labour</w:t>
      </w:r>
      <w:proofErr w:type="spellEnd"/>
      <w:r w:rsidR="00FC3A51" w:rsidRPr="00DE3DAA">
        <w:rPr>
          <w:rFonts w:ascii="Times New Roman" w:hAnsi="Times New Roman" w:cs="Times New Roman"/>
          <w:sz w:val="26"/>
          <w:szCs w:val="26"/>
        </w:rPr>
        <w:t xml:space="preserve"> legislation to moderate the collective bargaining power of trade unions, while supplementing the protections of individual workers</w:t>
      </w:r>
      <w:r w:rsidR="001F0478" w:rsidRPr="00DE3DAA">
        <w:rPr>
          <w:rFonts w:ascii="Times New Roman" w:hAnsi="Times New Roman" w:cs="Times New Roman"/>
          <w:sz w:val="26"/>
          <w:szCs w:val="26"/>
        </w:rPr>
        <w:t xml:space="preserve">. </w:t>
      </w:r>
      <w:r w:rsidR="009B7EDD" w:rsidRPr="00DE3DAA">
        <w:rPr>
          <w:rFonts w:ascii="Times New Roman" w:hAnsi="Times New Roman" w:cs="Times New Roman"/>
          <w:sz w:val="26"/>
          <w:szCs w:val="26"/>
        </w:rPr>
        <w:t>T</w:t>
      </w:r>
      <w:r w:rsidR="001F0478" w:rsidRPr="00DE3DAA">
        <w:rPr>
          <w:rFonts w:ascii="Times New Roman" w:hAnsi="Times New Roman" w:cs="Times New Roman"/>
          <w:sz w:val="26"/>
          <w:szCs w:val="26"/>
        </w:rPr>
        <w:t xml:space="preserve">he policy of </w:t>
      </w:r>
      <w:proofErr w:type="spellStart"/>
      <w:r w:rsidR="001F0478" w:rsidRPr="00DE3DAA">
        <w:rPr>
          <w:rFonts w:ascii="Times New Roman" w:hAnsi="Times New Roman" w:cs="Times New Roman"/>
          <w:sz w:val="26"/>
          <w:szCs w:val="26"/>
        </w:rPr>
        <w:t>Labou</w:t>
      </w:r>
      <w:r w:rsidR="005E3C9D" w:rsidRPr="00DE3DAA">
        <w:rPr>
          <w:rFonts w:ascii="Times New Roman" w:hAnsi="Times New Roman" w:cs="Times New Roman"/>
          <w:sz w:val="26"/>
          <w:szCs w:val="26"/>
        </w:rPr>
        <w:t>r</w:t>
      </w:r>
      <w:proofErr w:type="spellEnd"/>
      <w:r w:rsidR="001F0478" w:rsidRPr="00DE3DAA">
        <w:rPr>
          <w:rFonts w:ascii="Times New Roman" w:hAnsi="Times New Roman" w:cs="Times New Roman"/>
          <w:sz w:val="26"/>
          <w:szCs w:val="26"/>
        </w:rPr>
        <w:t xml:space="preserve"> governments in the later 1960s and 1970s was </w:t>
      </w:r>
      <w:r w:rsidR="009B7EDD" w:rsidRPr="00DE3DAA">
        <w:rPr>
          <w:rFonts w:ascii="Times New Roman" w:hAnsi="Times New Roman" w:cs="Times New Roman"/>
          <w:sz w:val="26"/>
          <w:szCs w:val="26"/>
        </w:rPr>
        <w:t xml:space="preserve">known </w:t>
      </w:r>
      <w:r w:rsidR="001F0478" w:rsidRPr="00DE3DAA">
        <w:rPr>
          <w:rFonts w:ascii="Times New Roman" w:hAnsi="Times New Roman" w:cs="Times New Roman"/>
          <w:sz w:val="26"/>
          <w:szCs w:val="26"/>
        </w:rPr>
        <w:t>to operate in th</w:t>
      </w:r>
      <w:r w:rsidR="009B7EDD" w:rsidRPr="00DE3DAA">
        <w:rPr>
          <w:rFonts w:ascii="Times New Roman" w:hAnsi="Times New Roman" w:cs="Times New Roman"/>
          <w:sz w:val="26"/>
          <w:szCs w:val="26"/>
        </w:rPr>
        <w:t xml:space="preserve">is </w:t>
      </w:r>
      <w:r w:rsidR="001F0478" w:rsidRPr="00DE3DAA">
        <w:rPr>
          <w:rFonts w:ascii="Times New Roman" w:hAnsi="Times New Roman" w:cs="Times New Roman"/>
          <w:sz w:val="26"/>
          <w:szCs w:val="26"/>
        </w:rPr>
        <w:t>mode.</w:t>
      </w:r>
      <w:r w:rsidR="000E0C34" w:rsidRPr="00DE3DAA">
        <w:rPr>
          <w:rStyle w:val="ae"/>
          <w:rFonts w:ascii="Times New Roman" w:hAnsi="Times New Roman" w:cs="Times New Roman"/>
          <w:sz w:val="26"/>
          <w:szCs w:val="26"/>
        </w:rPr>
        <w:footnoteReference w:id="183"/>
      </w:r>
      <w:r w:rsidR="001F0478" w:rsidRPr="00DE3DAA">
        <w:rPr>
          <w:rFonts w:ascii="Times New Roman" w:hAnsi="Times New Roman" w:cs="Times New Roman"/>
          <w:sz w:val="26"/>
          <w:szCs w:val="26"/>
        </w:rPr>
        <w:t xml:space="preserve"> On the other hand,</w:t>
      </w:r>
      <w:r w:rsidR="00FC3A51" w:rsidRPr="00DE3DAA">
        <w:rPr>
          <w:rFonts w:ascii="Times New Roman" w:hAnsi="Times New Roman" w:cs="Times New Roman"/>
          <w:sz w:val="26"/>
          <w:szCs w:val="26"/>
        </w:rPr>
        <w:t xml:space="preserve"> the other consisted more straightforward</w:t>
      </w:r>
      <w:r w:rsidR="009B7EDD" w:rsidRPr="00DE3DAA">
        <w:rPr>
          <w:rFonts w:ascii="Times New Roman" w:hAnsi="Times New Roman" w:cs="Times New Roman"/>
          <w:sz w:val="26"/>
          <w:szCs w:val="26"/>
        </w:rPr>
        <w:t xml:space="preserve"> wa</w:t>
      </w:r>
      <w:r w:rsidR="00FC3A51" w:rsidRPr="00DE3DAA">
        <w:rPr>
          <w:rFonts w:ascii="Times New Roman" w:hAnsi="Times New Roman" w:cs="Times New Roman"/>
          <w:sz w:val="26"/>
          <w:szCs w:val="26"/>
        </w:rPr>
        <w:t>y of re</w:t>
      </w:r>
      <w:r w:rsidR="001F0478" w:rsidRPr="00DE3DAA">
        <w:rPr>
          <w:rFonts w:ascii="Times New Roman" w:hAnsi="Times New Roman" w:cs="Times New Roman"/>
          <w:sz w:val="26"/>
          <w:szCs w:val="26"/>
        </w:rPr>
        <w:t xml:space="preserve">-balancing the equilibrium of power in employment relations in </w:t>
      </w:r>
      <w:proofErr w:type="spellStart"/>
      <w:r w:rsidR="001F0478" w:rsidRPr="00DE3DAA">
        <w:rPr>
          <w:rFonts w:ascii="Times New Roman" w:hAnsi="Times New Roman" w:cs="Times New Roman"/>
          <w:sz w:val="26"/>
          <w:szCs w:val="26"/>
        </w:rPr>
        <w:t>favour</w:t>
      </w:r>
      <w:proofErr w:type="spellEnd"/>
      <w:r w:rsidR="001F0478" w:rsidRPr="00DE3DAA">
        <w:rPr>
          <w:rFonts w:ascii="Times New Roman" w:hAnsi="Times New Roman" w:cs="Times New Roman"/>
          <w:sz w:val="26"/>
          <w:szCs w:val="26"/>
        </w:rPr>
        <w:t xml:space="preserve"> of management.</w:t>
      </w:r>
      <w:r w:rsidR="000E0C34" w:rsidRPr="00DE3DAA">
        <w:rPr>
          <w:rStyle w:val="ae"/>
          <w:rFonts w:ascii="Times New Roman" w:hAnsi="Times New Roman" w:cs="Times New Roman"/>
          <w:sz w:val="26"/>
          <w:szCs w:val="26"/>
        </w:rPr>
        <w:footnoteReference w:id="184"/>
      </w:r>
      <w:r w:rsidR="001F0478" w:rsidRPr="00DE3DAA">
        <w:rPr>
          <w:rFonts w:ascii="Times New Roman" w:hAnsi="Times New Roman" w:cs="Times New Roman"/>
          <w:sz w:val="26"/>
          <w:szCs w:val="26"/>
        </w:rPr>
        <w:t xml:space="preserve"> The Conservative administration of 1970 to 1974 </w:t>
      </w:r>
      <w:r w:rsidR="009B7EDD" w:rsidRPr="00DE3DAA">
        <w:rPr>
          <w:rFonts w:ascii="Times New Roman" w:hAnsi="Times New Roman" w:cs="Times New Roman"/>
          <w:sz w:val="26"/>
          <w:szCs w:val="26"/>
        </w:rPr>
        <w:t>is known to have m</w:t>
      </w:r>
      <w:r w:rsidR="001F0478" w:rsidRPr="00DE3DAA">
        <w:rPr>
          <w:rFonts w:ascii="Times New Roman" w:hAnsi="Times New Roman" w:cs="Times New Roman"/>
          <w:sz w:val="26"/>
          <w:szCs w:val="26"/>
        </w:rPr>
        <w:t>oved decisively into the latter mode, a retrospective view would rather regard it as poised between the two modes.</w:t>
      </w:r>
      <w:r w:rsidR="000E0C34" w:rsidRPr="00DE3DAA">
        <w:rPr>
          <w:rStyle w:val="ae"/>
          <w:rFonts w:ascii="Times New Roman" w:hAnsi="Times New Roman" w:cs="Times New Roman"/>
          <w:sz w:val="26"/>
          <w:szCs w:val="26"/>
        </w:rPr>
        <w:footnoteReference w:id="185"/>
      </w:r>
      <w:r w:rsidR="001F0478" w:rsidRPr="00DE3DAA">
        <w:rPr>
          <w:rFonts w:ascii="Times New Roman" w:hAnsi="Times New Roman" w:cs="Times New Roman"/>
          <w:sz w:val="26"/>
          <w:szCs w:val="26"/>
        </w:rPr>
        <w:t xml:space="preserve"> It was generally agreed at the time, and is still perceived to be the case, that the Conservative governments of the 1980s opted decisively for the </w:t>
      </w:r>
      <w:r w:rsidR="00EC04EB" w:rsidRPr="00DE3DAA">
        <w:rPr>
          <w:rFonts w:ascii="Times New Roman" w:hAnsi="Times New Roman" w:cs="Times New Roman"/>
          <w:sz w:val="26"/>
          <w:szCs w:val="26"/>
        </w:rPr>
        <w:t>latter</w:t>
      </w:r>
      <w:r w:rsidR="001F0478" w:rsidRPr="00DE3DAA">
        <w:rPr>
          <w:rFonts w:ascii="Times New Roman" w:hAnsi="Times New Roman" w:cs="Times New Roman"/>
          <w:sz w:val="26"/>
          <w:szCs w:val="26"/>
        </w:rPr>
        <w:t xml:space="preserve"> mode</w:t>
      </w:r>
      <w:r w:rsidR="00EC04EB" w:rsidRPr="00DE3DAA">
        <w:rPr>
          <w:rFonts w:ascii="Times New Roman" w:hAnsi="Times New Roman" w:cs="Times New Roman"/>
          <w:sz w:val="26"/>
          <w:szCs w:val="26"/>
        </w:rPr>
        <w:t xml:space="preserve"> in that they regarded the correction of inequality of bargaining power in employment relations consisted absolutely of reducing the power of </w:t>
      </w:r>
      <w:r w:rsidR="00EC04EB" w:rsidRPr="00DE3DAA">
        <w:rPr>
          <w:rFonts w:ascii="Times New Roman" w:hAnsi="Times New Roman" w:cs="Times New Roman"/>
          <w:sz w:val="26"/>
          <w:szCs w:val="26"/>
        </w:rPr>
        <w:lastRenderedPageBreak/>
        <w:t>trade unions.</w:t>
      </w:r>
      <w:r w:rsidR="000E0C34" w:rsidRPr="00DE3DAA">
        <w:rPr>
          <w:rStyle w:val="ae"/>
          <w:rFonts w:ascii="Times New Roman" w:hAnsi="Times New Roman" w:cs="Times New Roman"/>
          <w:sz w:val="26"/>
          <w:szCs w:val="26"/>
        </w:rPr>
        <w:footnoteReference w:id="186"/>
      </w:r>
      <w:r w:rsidR="00F93200" w:rsidRPr="00DE3DAA">
        <w:rPr>
          <w:rFonts w:ascii="Times New Roman" w:hAnsi="Times New Roman" w:cs="Times New Roman"/>
          <w:sz w:val="26"/>
          <w:szCs w:val="26"/>
        </w:rPr>
        <w:t xml:space="preserve"> </w:t>
      </w:r>
      <w:r w:rsidR="009D7CD1" w:rsidRPr="00DE3DAA">
        <w:rPr>
          <w:rFonts w:ascii="Times New Roman" w:hAnsi="Times New Roman" w:cs="Times New Roman"/>
          <w:sz w:val="26"/>
          <w:szCs w:val="26"/>
        </w:rPr>
        <w:t>However</w:t>
      </w:r>
      <w:r w:rsidR="007C1CCA" w:rsidRPr="00DE3DAA">
        <w:rPr>
          <w:rFonts w:ascii="Times New Roman" w:hAnsi="Times New Roman" w:cs="Times New Roman"/>
          <w:sz w:val="26"/>
          <w:szCs w:val="26"/>
        </w:rPr>
        <w:t xml:space="preserve">, </w:t>
      </w:r>
      <w:r w:rsidR="005611DE" w:rsidRPr="00DE3DAA">
        <w:rPr>
          <w:rFonts w:ascii="Times New Roman" w:hAnsi="Times New Roman" w:cs="Times New Roman"/>
          <w:sz w:val="26"/>
          <w:szCs w:val="26"/>
        </w:rPr>
        <w:t xml:space="preserve">it </w:t>
      </w:r>
      <w:r w:rsidR="00F52124" w:rsidRPr="00DE3DAA">
        <w:rPr>
          <w:rFonts w:ascii="Times New Roman" w:hAnsi="Times New Roman" w:cs="Times New Roman"/>
          <w:sz w:val="26"/>
          <w:szCs w:val="26"/>
        </w:rPr>
        <w:t xml:space="preserve">has been </w:t>
      </w:r>
      <w:r w:rsidR="005611DE" w:rsidRPr="00DE3DAA">
        <w:rPr>
          <w:rFonts w:ascii="Times New Roman" w:hAnsi="Times New Roman" w:cs="Times New Roman"/>
          <w:sz w:val="26"/>
          <w:szCs w:val="26"/>
        </w:rPr>
        <w:t xml:space="preserve">stated that </w:t>
      </w:r>
      <w:r w:rsidR="009D7CD1" w:rsidRPr="00DE3DAA">
        <w:rPr>
          <w:rFonts w:ascii="Times New Roman" w:hAnsi="Times New Roman" w:cs="Times New Roman"/>
          <w:sz w:val="26"/>
          <w:szCs w:val="26"/>
        </w:rPr>
        <w:t xml:space="preserve">the re-conceiving of the ends or purposes of </w:t>
      </w:r>
      <w:proofErr w:type="spellStart"/>
      <w:r w:rsidR="009D7CD1" w:rsidRPr="00DE3DAA">
        <w:rPr>
          <w:rFonts w:ascii="Times New Roman" w:hAnsi="Times New Roman" w:cs="Times New Roman"/>
          <w:sz w:val="26"/>
          <w:szCs w:val="26"/>
        </w:rPr>
        <w:t>labour</w:t>
      </w:r>
      <w:proofErr w:type="spellEnd"/>
      <w:r w:rsidR="009D7CD1" w:rsidRPr="00DE3DAA">
        <w:rPr>
          <w:rFonts w:ascii="Times New Roman" w:hAnsi="Times New Roman" w:cs="Times New Roman"/>
          <w:sz w:val="26"/>
          <w:szCs w:val="26"/>
        </w:rPr>
        <w:t xml:space="preserve"> law which occurred during the 1980s went further than this</w:t>
      </w:r>
      <w:r w:rsidR="00F52124" w:rsidRPr="00DE3DAA">
        <w:rPr>
          <w:rFonts w:ascii="Times New Roman" w:hAnsi="Times New Roman" w:cs="Times New Roman"/>
          <w:sz w:val="26"/>
          <w:szCs w:val="26"/>
        </w:rPr>
        <w:t>,</w:t>
      </w:r>
      <w:r w:rsidR="009D7CD1" w:rsidRPr="00DE3DAA">
        <w:rPr>
          <w:rFonts w:ascii="Times New Roman" w:hAnsi="Times New Roman" w:cs="Times New Roman"/>
          <w:sz w:val="26"/>
          <w:szCs w:val="26"/>
        </w:rPr>
        <w:t xml:space="preserve"> in a sense transcending the ups and downs of the see-saw of correction of inequalities of bargaining power between management and workers, and amounting to a more fundamental re-casting of the function of </w:t>
      </w:r>
      <w:proofErr w:type="spellStart"/>
      <w:r w:rsidR="009D7CD1" w:rsidRPr="00DE3DAA">
        <w:rPr>
          <w:rFonts w:ascii="Times New Roman" w:hAnsi="Times New Roman" w:cs="Times New Roman"/>
          <w:sz w:val="26"/>
          <w:szCs w:val="26"/>
        </w:rPr>
        <w:t>labour</w:t>
      </w:r>
      <w:proofErr w:type="spellEnd"/>
      <w:r w:rsidR="009D7CD1" w:rsidRPr="00DE3DAA">
        <w:rPr>
          <w:rFonts w:ascii="Times New Roman" w:hAnsi="Times New Roman" w:cs="Times New Roman"/>
          <w:sz w:val="26"/>
          <w:szCs w:val="26"/>
        </w:rPr>
        <w:t xml:space="preserve"> legislation and its role in the public policy of governments.</w:t>
      </w:r>
      <w:r w:rsidR="000E0C34" w:rsidRPr="00DE3DAA">
        <w:rPr>
          <w:rStyle w:val="ae"/>
          <w:rFonts w:ascii="Times New Roman" w:hAnsi="Times New Roman" w:cs="Times New Roman"/>
          <w:sz w:val="26"/>
          <w:szCs w:val="26"/>
        </w:rPr>
        <w:footnoteReference w:id="187"/>
      </w:r>
      <w:r w:rsidR="009D7CD1" w:rsidRPr="00DE3DAA">
        <w:rPr>
          <w:rFonts w:ascii="Times New Roman" w:hAnsi="Times New Roman" w:cs="Times New Roman"/>
          <w:sz w:val="26"/>
          <w:szCs w:val="26"/>
        </w:rPr>
        <w:t xml:space="preserve"> </w:t>
      </w:r>
      <w:r w:rsidR="00F52124" w:rsidRPr="00DE3DAA">
        <w:rPr>
          <w:rFonts w:ascii="Times New Roman" w:hAnsi="Times New Roman" w:cs="Times New Roman"/>
          <w:sz w:val="26"/>
          <w:szCs w:val="26"/>
        </w:rPr>
        <w:t>At last,</w:t>
      </w:r>
      <w:r w:rsidR="009D7CD1" w:rsidRPr="00DE3DAA">
        <w:rPr>
          <w:rFonts w:ascii="Times New Roman" w:hAnsi="Times New Roman" w:cs="Times New Roman"/>
          <w:sz w:val="26"/>
          <w:szCs w:val="26"/>
        </w:rPr>
        <w:t xml:space="preserve"> </w:t>
      </w:r>
      <w:r w:rsidR="00F52124" w:rsidRPr="00DE3DAA">
        <w:rPr>
          <w:rFonts w:ascii="Times New Roman" w:hAnsi="Times New Roman" w:cs="Times New Roman"/>
          <w:sz w:val="26"/>
          <w:szCs w:val="26"/>
        </w:rPr>
        <w:t xml:space="preserve">that is to say that </w:t>
      </w:r>
      <w:proofErr w:type="spellStart"/>
      <w:r w:rsidR="009D7CD1" w:rsidRPr="00DE3DAA">
        <w:rPr>
          <w:rFonts w:ascii="Times New Roman" w:hAnsi="Times New Roman" w:cs="Times New Roman"/>
          <w:sz w:val="26"/>
          <w:szCs w:val="26"/>
        </w:rPr>
        <w:t>labour</w:t>
      </w:r>
      <w:proofErr w:type="spellEnd"/>
      <w:r w:rsidR="009D7CD1" w:rsidRPr="00DE3DAA">
        <w:rPr>
          <w:rFonts w:ascii="Times New Roman" w:hAnsi="Times New Roman" w:cs="Times New Roman"/>
          <w:sz w:val="26"/>
          <w:szCs w:val="26"/>
        </w:rPr>
        <w:t xml:space="preserve"> law began to move out of the zone of ‘social law’ and worker protection, and became part of a larger and rather different vision of </w:t>
      </w:r>
      <w:proofErr w:type="spellStart"/>
      <w:r w:rsidR="009D7CD1" w:rsidRPr="00DE3DAA">
        <w:rPr>
          <w:rFonts w:ascii="Times New Roman" w:hAnsi="Times New Roman" w:cs="Times New Roman"/>
          <w:sz w:val="26"/>
          <w:szCs w:val="26"/>
        </w:rPr>
        <w:t>labour</w:t>
      </w:r>
      <w:proofErr w:type="spellEnd"/>
      <w:r w:rsidR="009D7CD1" w:rsidRPr="00DE3DAA">
        <w:rPr>
          <w:rFonts w:ascii="Times New Roman" w:hAnsi="Times New Roman" w:cs="Times New Roman"/>
          <w:sz w:val="26"/>
          <w:szCs w:val="26"/>
        </w:rPr>
        <w:t xml:space="preserve"> market regulation in the interests of a free market economy.</w:t>
      </w:r>
      <w:r w:rsidR="000E0C34" w:rsidRPr="00DE3DAA">
        <w:rPr>
          <w:rStyle w:val="ae"/>
          <w:rFonts w:ascii="Times New Roman" w:hAnsi="Times New Roman" w:cs="Times New Roman"/>
          <w:sz w:val="26"/>
          <w:szCs w:val="26"/>
        </w:rPr>
        <w:footnoteReference w:id="188"/>
      </w:r>
      <w:r w:rsidR="0019406D" w:rsidRPr="00DE3DAA">
        <w:rPr>
          <w:rFonts w:ascii="Times New Roman" w:hAnsi="Times New Roman" w:cs="Times New Roman"/>
          <w:sz w:val="26"/>
          <w:szCs w:val="26"/>
        </w:rPr>
        <w:t xml:space="preserve"> From that perspective, </w:t>
      </w:r>
      <w:proofErr w:type="spellStart"/>
      <w:r w:rsidR="0019406D" w:rsidRPr="00DE3DAA">
        <w:rPr>
          <w:rFonts w:ascii="Times New Roman" w:hAnsi="Times New Roman" w:cs="Times New Roman"/>
          <w:sz w:val="26"/>
          <w:szCs w:val="26"/>
        </w:rPr>
        <w:t>labour</w:t>
      </w:r>
      <w:proofErr w:type="spellEnd"/>
      <w:r w:rsidR="0019406D" w:rsidRPr="00DE3DAA">
        <w:rPr>
          <w:rFonts w:ascii="Times New Roman" w:hAnsi="Times New Roman" w:cs="Times New Roman"/>
          <w:sz w:val="26"/>
          <w:szCs w:val="26"/>
        </w:rPr>
        <w:t xml:space="preserve"> law and the regulation of employment re</w:t>
      </w:r>
      <w:r w:rsidR="00A73F7A" w:rsidRPr="00DE3DAA">
        <w:rPr>
          <w:rFonts w:ascii="Times New Roman" w:hAnsi="Times New Roman" w:cs="Times New Roman"/>
          <w:sz w:val="26"/>
          <w:szCs w:val="26"/>
        </w:rPr>
        <w:t>lations</w:t>
      </w:r>
      <w:r w:rsidR="0019406D" w:rsidRPr="00DE3DAA">
        <w:rPr>
          <w:rFonts w:ascii="Times New Roman" w:hAnsi="Times New Roman" w:cs="Times New Roman"/>
          <w:sz w:val="26"/>
          <w:szCs w:val="26"/>
        </w:rPr>
        <w:t xml:space="preserve"> </w:t>
      </w:r>
      <w:r w:rsidR="004245E9" w:rsidRPr="00DE3DAA">
        <w:rPr>
          <w:rFonts w:ascii="Times New Roman" w:hAnsi="Times New Roman" w:cs="Times New Roman"/>
          <w:sz w:val="26"/>
          <w:szCs w:val="26"/>
        </w:rPr>
        <w:t>can</w:t>
      </w:r>
      <w:r w:rsidR="00F52124" w:rsidRPr="00DE3DAA">
        <w:rPr>
          <w:rFonts w:ascii="Times New Roman" w:hAnsi="Times New Roman" w:cs="Times New Roman"/>
          <w:sz w:val="26"/>
          <w:szCs w:val="26"/>
        </w:rPr>
        <w:t xml:space="preserve"> be</w:t>
      </w:r>
      <w:r w:rsidR="0019406D" w:rsidRPr="00DE3DAA">
        <w:rPr>
          <w:rFonts w:ascii="Times New Roman" w:hAnsi="Times New Roman" w:cs="Times New Roman"/>
          <w:sz w:val="26"/>
          <w:szCs w:val="26"/>
        </w:rPr>
        <w:t xml:space="preserve"> viewed, in a much more pronounced and overt way than they had previously been, as instrumental to the securing</w:t>
      </w:r>
      <w:r w:rsidR="00A73F7A" w:rsidRPr="00DE3DAA">
        <w:rPr>
          <w:rFonts w:ascii="Times New Roman" w:hAnsi="Times New Roman" w:cs="Times New Roman"/>
          <w:sz w:val="26"/>
          <w:szCs w:val="26"/>
        </w:rPr>
        <w:t xml:space="preserve"> </w:t>
      </w:r>
      <w:r w:rsidR="0019406D" w:rsidRPr="00DE3DAA">
        <w:rPr>
          <w:rFonts w:ascii="Times New Roman" w:hAnsi="Times New Roman" w:cs="Times New Roman"/>
          <w:sz w:val="26"/>
          <w:szCs w:val="26"/>
        </w:rPr>
        <w:t>and maintaining of a political equilibrium constructed around</w:t>
      </w:r>
      <w:r w:rsidR="00A73F7A" w:rsidRPr="00DE3DAA">
        <w:rPr>
          <w:rFonts w:ascii="Times New Roman" w:hAnsi="Times New Roman" w:cs="Times New Roman"/>
          <w:sz w:val="26"/>
          <w:szCs w:val="26"/>
        </w:rPr>
        <w:t xml:space="preserve"> the key notions of full employment, carefully controlled inflation, taxation and social security expenditure, and financially efficient provision of public services.</w:t>
      </w:r>
      <w:r w:rsidR="000E0C34" w:rsidRPr="00DE3DAA">
        <w:rPr>
          <w:rStyle w:val="ae"/>
          <w:rFonts w:ascii="Times New Roman" w:hAnsi="Times New Roman" w:cs="Times New Roman"/>
          <w:sz w:val="26"/>
          <w:szCs w:val="26"/>
        </w:rPr>
        <w:footnoteReference w:id="189"/>
      </w:r>
    </w:p>
    <w:p w14:paraId="24B5ECEA" w14:textId="67C9A8BE" w:rsidR="0019406D" w:rsidRPr="00DE3DAA" w:rsidRDefault="0019406D" w:rsidP="00F04349">
      <w:pPr>
        <w:pStyle w:val="a3"/>
        <w:ind w:leftChars="0" w:left="1520"/>
        <w:rPr>
          <w:rFonts w:ascii="Times New Roman" w:hAnsi="Times New Roman" w:cs="Times New Roman"/>
          <w:sz w:val="26"/>
          <w:szCs w:val="26"/>
        </w:rPr>
      </w:pPr>
    </w:p>
    <w:p w14:paraId="3E5B735D" w14:textId="40AEA6AF" w:rsidR="00DB6E0A" w:rsidRPr="00DE3DAA" w:rsidRDefault="00DB6E0A" w:rsidP="00DB6E0A">
      <w:pPr>
        <w:pStyle w:val="a3"/>
        <w:numPr>
          <w:ilvl w:val="0"/>
          <w:numId w:val="19"/>
        </w:numPr>
        <w:ind w:leftChars="0"/>
        <w:rPr>
          <w:rFonts w:ascii="Times New Roman" w:hAnsi="Times New Roman" w:cs="Times New Roman"/>
          <w:sz w:val="26"/>
          <w:szCs w:val="26"/>
        </w:rPr>
      </w:pPr>
      <w:r w:rsidRPr="00DE3DAA">
        <w:rPr>
          <w:rFonts w:ascii="Times New Roman" w:hAnsi="Times New Roman" w:cs="Times New Roman"/>
          <w:sz w:val="26"/>
          <w:szCs w:val="26"/>
        </w:rPr>
        <w:t xml:space="preserve">The </w:t>
      </w:r>
      <w:r w:rsidR="002742AE" w:rsidRPr="00DE3DAA">
        <w:rPr>
          <w:rFonts w:ascii="Times New Roman" w:hAnsi="Times New Roman" w:cs="Times New Roman"/>
          <w:sz w:val="26"/>
          <w:szCs w:val="26"/>
        </w:rPr>
        <w:t xml:space="preserve">overview of policy consideration developed </w:t>
      </w:r>
      <w:r w:rsidR="00D942B8" w:rsidRPr="00DE3DAA">
        <w:rPr>
          <w:rFonts w:ascii="Times New Roman" w:hAnsi="Times New Roman" w:cs="Times New Roman"/>
          <w:sz w:val="26"/>
          <w:szCs w:val="26"/>
        </w:rPr>
        <w:t xml:space="preserve">by the </w:t>
      </w:r>
      <w:proofErr w:type="spellStart"/>
      <w:r w:rsidR="00D942B8" w:rsidRPr="00DE3DAA">
        <w:rPr>
          <w:rFonts w:ascii="Times New Roman" w:hAnsi="Times New Roman" w:cs="Times New Roman"/>
          <w:sz w:val="26"/>
          <w:szCs w:val="26"/>
        </w:rPr>
        <w:t>Labour</w:t>
      </w:r>
      <w:proofErr w:type="spellEnd"/>
      <w:r w:rsidR="00D942B8" w:rsidRPr="00DE3DAA">
        <w:rPr>
          <w:rFonts w:ascii="Times New Roman" w:hAnsi="Times New Roman" w:cs="Times New Roman"/>
          <w:sz w:val="26"/>
          <w:szCs w:val="26"/>
        </w:rPr>
        <w:t xml:space="preserve"> administration since 1997 (‘New </w:t>
      </w:r>
      <w:proofErr w:type="spellStart"/>
      <w:r w:rsidR="00D942B8" w:rsidRPr="00DE3DAA">
        <w:rPr>
          <w:rFonts w:ascii="Times New Roman" w:hAnsi="Times New Roman" w:cs="Times New Roman"/>
          <w:sz w:val="26"/>
          <w:szCs w:val="26"/>
        </w:rPr>
        <w:t>Labour</w:t>
      </w:r>
      <w:proofErr w:type="spellEnd"/>
      <w:r w:rsidR="00D942B8" w:rsidRPr="00DE3DAA">
        <w:rPr>
          <w:rFonts w:ascii="Times New Roman" w:hAnsi="Times New Roman" w:cs="Times New Roman"/>
          <w:sz w:val="26"/>
          <w:szCs w:val="26"/>
        </w:rPr>
        <w:t>’)</w:t>
      </w:r>
      <w:r w:rsidR="00FC1482" w:rsidRPr="00DE3DAA">
        <w:rPr>
          <w:rFonts w:ascii="Times New Roman" w:hAnsi="Times New Roman" w:cs="Times New Roman"/>
          <w:sz w:val="26"/>
          <w:szCs w:val="26"/>
        </w:rPr>
        <w:t xml:space="preserve"> and the shifts in priorities</w:t>
      </w:r>
    </w:p>
    <w:p w14:paraId="1AD9C058" w14:textId="77777777" w:rsidR="00DB6E0A" w:rsidRPr="00DE3DAA" w:rsidRDefault="00DB6E0A" w:rsidP="00DB6E0A">
      <w:pPr>
        <w:pStyle w:val="a3"/>
        <w:ind w:leftChars="0" w:left="1640"/>
        <w:rPr>
          <w:rFonts w:ascii="Times New Roman" w:hAnsi="Times New Roman" w:cs="Times New Roman"/>
          <w:sz w:val="26"/>
          <w:szCs w:val="26"/>
        </w:rPr>
      </w:pPr>
    </w:p>
    <w:p w14:paraId="37D23269" w14:textId="4E18D246" w:rsidR="00EB232D" w:rsidRPr="00DE3DAA" w:rsidRDefault="00AE67BB" w:rsidP="00F04349">
      <w:pPr>
        <w:pStyle w:val="a3"/>
        <w:ind w:leftChars="0" w:left="1520"/>
        <w:rPr>
          <w:rFonts w:ascii="Times New Roman" w:hAnsi="Times New Roman" w:cs="Times New Roman"/>
          <w:sz w:val="26"/>
          <w:szCs w:val="26"/>
        </w:rPr>
      </w:pPr>
      <w:r w:rsidRPr="00DE3DAA">
        <w:rPr>
          <w:rFonts w:ascii="Times New Roman" w:hAnsi="Times New Roman" w:cs="Times New Roman"/>
          <w:sz w:val="26"/>
          <w:szCs w:val="26"/>
        </w:rPr>
        <w:t xml:space="preserve">It can be said that </w:t>
      </w:r>
      <w:r w:rsidR="004245E9" w:rsidRPr="00DE3DAA">
        <w:rPr>
          <w:rFonts w:ascii="Times New Roman" w:hAnsi="Times New Roman" w:cs="Times New Roman"/>
          <w:sz w:val="26"/>
          <w:szCs w:val="26"/>
        </w:rPr>
        <w:t>while the reduction of the power of trade unions was undoubtedly an important pre-occupation of government sin</w:t>
      </w:r>
      <w:r w:rsidR="0058043F" w:rsidRPr="00DE3DAA">
        <w:rPr>
          <w:rFonts w:ascii="Times New Roman" w:hAnsi="Times New Roman" w:cs="Times New Roman"/>
          <w:sz w:val="26"/>
          <w:szCs w:val="26"/>
        </w:rPr>
        <w:t>ce</w:t>
      </w:r>
      <w:r w:rsidR="004245E9" w:rsidRPr="00DE3DAA">
        <w:rPr>
          <w:rFonts w:ascii="Times New Roman" w:hAnsi="Times New Roman" w:cs="Times New Roman"/>
          <w:sz w:val="26"/>
          <w:szCs w:val="26"/>
        </w:rPr>
        <w:t xml:space="preserve"> the 1980s</w:t>
      </w:r>
      <w:r w:rsidRPr="00DE3DAA">
        <w:rPr>
          <w:rFonts w:ascii="Times New Roman" w:hAnsi="Times New Roman" w:cs="Times New Roman"/>
          <w:sz w:val="26"/>
          <w:szCs w:val="26"/>
        </w:rPr>
        <w:t>,</w:t>
      </w:r>
      <w:r w:rsidR="004245E9" w:rsidRPr="00DE3DAA">
        <w:rPr>
          <w:rFonts w:ascii="Times New Roman" w:hAnsi="Times New Roman" w:cs="Times New Roman"/>
          <w:sz w:val="26"/>
          <w:szCs w:val="26"/>
        </w:rPr>
        <w:t xml:space="preserve"> that formed only part of a lager political enterprise of </w:t>
      </w:r>
      <w:r w:rsidR="0058043F" w:rsidRPr="00DE3DAA">
        <w:rPr>
          <w:rFonts w:ascii="Times New Roman" w:hAnsi="Times New Roman" w:cs="Times New Roman"/>
          <w:sz w:val="26"/>
          <w:szCs w:val="26"/>
        </w:rPr>
        <w:t xml:space="preserve">‘restructuring the </w:t>
      </w:r>
      <w:proofErr w:type="spellStart"/>
      <w:r w:rsidR="0058043F" w:rsidRPr="00DE3DAA">
        <w:rPr>
          <w:rFonts w:ascii="Times New Roman" w:hAnsi="Times New Roman" w:cs="Times New Roman"/>
          <w:sz w:val="26"/>
          <w:szCs w:val="26"/>
        </w:rPr>
        <w:t>labour</w:t>
      </w:r>
      <w:proofErr w:type="spellEnd"/>
      <w:r w:rsidR="0058043F" w:rsidRPr="00DE3DAA">
        <w:rPr>
          <w:rFonts w:ascii="Times New Roman" w:hAnsi="Times New Roman" w:cs="Times New Roman"/>
          <w:sz w:val="26"/>
          <w:szCs w:val="26"/>
        </w:rPr>
        <w:t xml:space="preserve"> economy’ which, as we put it, ‘gradually focused upon the notion of a market economy as the ideal for industrial society’.</w:t>
      </w:r>
      <w:r w:rsidR="000E0C34" w:rsidRPr="00DE3DAA">
        <w:rPr>
          <w:rStyle w:val="ae"/>
          <w:rFonts w:ascii="Times New Roman" w:hAnsi="Times New Roman" w:cs="Times New Roman"/>
          <w:sz w:val="26"/>
          <w:szCs w:val="26"/>
        </w:rPr>
        <w:footnoteReference w:id="190"/>
      </w:r>
      <w:r w:rsidR="00E951F1" w:rsidRPr="00DE3DAA">
        <w:rPr>
          <w:rFonts w:ascii="Times New Roman" w:hAnsi="Times New Roman" w:cs="Times New Roman"/>
          <w:sz w:val="26"/>
          <w:szCs w:val="26"/>
        </w:rPr>
        <w:t xml:space="preserve"> </w:t>
      </w:r>
      <w:r w:rsidR="00B521C1" w:rsidRPr="00DE3DAA">
        <w:rPr>
          <w:rFonts w:ascii="Times New Roman" w:hAnsi="Times New Roman" w:cs="Times New Roman"/>
          <w:sz w:val="26"/>
          <w:szCs w:val="26"/>
        </w:rPr>
        <w:t xml:space="preserve">In the development of that theme, a number of elements of regulation of employment relations and of the </w:t>
      </w:r>
      <w:proofErr w:type="spellStart"/>
      <w:r w:rsidR="00B521C1" w:rsidRPr="00DE3DAA">
        <w:rPr>
          <w:rFonts w:ascii="Times New Roman" w:hAnsi="Times New Roman" w:cs="Times New Roman"/>
          <w:sz w:val="26"/>
          <w:szCs w:val="26"/>
        </w:rPr>
        <w:t>labour</w:t>
      </w:r>
      <w:proofErr w:type="spellEnd"/>
      <w:r w:rsidR="00B521C1" w:rsidRPr="00DE3DAA">
        <w:rPr>
          <w:rFonts w:ascii="Times New Roman" w:hAnsi="Times New Roman" w:cs="Times New Roman"/>
          <w:sz w:val="26"/>
          <w:szCs w:val="26"/>
        </w:rPr>
        <w:t xml:space="preserve"> </w:t>
      </w:r>
      <w:r w:rsidR="00B521C1" w:rsidRPr="00DE3DAA">
        <w:rPr>
          <w:rFonts w:ascii="Times New Roman" w:hAnsi="Times New Roman" w:cs="Times New Roman"/>
          <w:sz w:val="26"/>
          <w:szCs w:val="26"/>
        </w:rPr>
        <w:lastRenderedPageBreak/>
        <w:t>market can be noted no less important parts of the picture than the reduction of trade union power.</w:t>
      </w:r>
      <w:r w:rsidR="000E0C34" w:rsidRPr="00DE3DAA">
        <w:rPr>
          <w:rStyle w:val="ae"/>
          <w:rFonts w:ascii="Times New Roman" w:hAnsi="Times New Roman" w:cs="Times New Roman"/>
          <w:sz w:val="26"/>
          <w:szCs w:val="26"/>
        </w:rPr>
        <w:footnoteReference w:id="191"/>
      </w:r>
      <w:r w:rsidR="00AF190C" w:rsidRPr="00DE3DAA">
        <w:rPr>
          <w:rFonts w:ascii="Times New Roman" w:hAnsi="Times New Roman" w:cs="Times New Roman"/>
          <w:sz w:val="26"/>
          <w:szCs w:val="26"/>
        </w:rPr>
        <w:t xml:space="preserve"> </w:t>
      </w:r>
      <w:r w:rsidR="00B86C1E" w:rsidRPr="00DE3DAA">
        <w:rPr>
          <w:rFonts w:ascii="Times New Roman" w:hAnsi="Times New Roman" w:cs="Times New Roman"/>
          <w:sz w:val="26"/>
          <w:szCs w:val="26"/>
        </w:rPr>
        <w:t>A</w:t>
      </w:r>
      <w:r w:rsidR="00107927" w:rsidRPr="00DE3DAA">
        <w:rPr>
          <w:rFonts w:ascii="Times New Roman" w:hAnsi="Times New Roman" w:cs="Times New Roman"/>
          <w:sz w:val="26"/>
          <w:szCs w:val="26"/>
        </w:rPr>
        <w:t xml:space="preserve"> number of elements </w:t>
      </w:r>
      <w:r w:rsidR="00AA2F88" w:rsidRPr="00DE3DAA">
        <w:rPr>
          <w:rFonts w:ascii="Times New Roman" w:hAnsi="Times New Roman" w:cs="Times New Roman"/>
          <w:sz w:val="26"/>
          <w:szCs w:val="26"/>
        </w:rPr>
        <w:t xml:space="preserve">have been noticed </w:t>
      </w:r>
      <w:r w:rsidR="00107927" w:rsidRPr="00DE3DAA">
        <w:rPr>
          <w:rFonts w:ascii="Times New Roman" w:hAnsi="Times New Roman" w:cs="Times New Roman"/>
          <w:sz w:val="26"/>
          <w:szCs w:val="26"/>
        </w:rPr>
        <w:t xml:space="preserve">including re-structuring of pay bargaining, and of the individual employment relationship in such a way as to </w:t>
      </w:r>
      <w:proofErr w:type="spellStart"/>
      <w:r w:rsidR="00107927" w:rsidRPr="00DE3DAA">
        <w:rPr>
          <w:rFonts w:ascii="Times New Roman" w:hAnsi="Times New Roman" w:cs="Times New Roman"/>
          <w:sz w:val="26"/>
          <w:szCs w:val="26"/>
        </w:rPr>
        <w:t>recognise</w:t>
      </w:r>
      <w:proofErr w:type="spellEnd"/>
      <w:r w:rsidR="00107927" w:rsidRPr="00DE3DAA">
        <w:rPr>
          <w:rFonts w:ascii="Times New Roman" w:hAnsi="Times New Roman" w:cs="Times New Roman"/>
          <w:sz w:val="26"/>
          <w:szCs w:val="26"/>
        </w:rPr>
        <w:t xml:space="preserve"> and establish a functional relationship between the </w:t>
      </w:r>
      <w:r w:rsidR="003874BD" w:rsidRPr="00DE3DAA">
        <w:rPr>
          <w:rFonts w:ascii="Times New Roman" w:hAnsi="Times New Roman" w:cs="Times New Roman"/>
          <w:sz w:val="26"/>
          <w:szCs w:val="26"/>
        </w:rPr>
        <w:t>‘removal of rigidities’ and the promotion of full employment.</w:t>
      </w:r>
      <w:r w:rsidR="00FC1B45" w:rsidRPr="00DE3DAA">
        <w:rPr>
          <w:rFonts w:ascii="Times New Roman" w:hAnsi="Times New Roman" w:cs="Times New Roman"/>
          <w:sz w:val="26"/>
          <w:szCs w:val="26"/>
        </w:rPr>
        <w:t xml:space="preserve"> </w:t>
      </w:r>
      <w:r w:rsidR="00AA2F88" w:rsidRPr="00DE3DAA">
        <w:rPr>
          <w:rFonts w:ascii="Times New Roman" w:hAnsi="Times New Roman" w:cs="Times New Roman"/>
          <w:sz w:val="26"/>
          <w:szCs w:val="26"/>
        </w:rPr>
        <w:t xml:space="preserve">In addition, as part of the creation of a new and marketized approach to the provision of public services and the discharge of the functions and responsibilities of government, the re-designing of the governmental approach to occupational pension </w:t>
      </w:r>
      <w:r w:rsidR="004F23E3" w:rsidRPr="00DE3DAA">
        <w:rPr>
          <w:rFonts w:ascii="Times New Roman" w:hAnsi="Times New Roman" w:cs="Times New Roman"/>
          <w:sz w:val="26"/>
          <w:szCs w:val="26"/>
        </w:rPr>
        <w:t xml:space="preserve">provision and social security and vocational training provision more generally </w:t>
      </w:r>
      <w:r w:rsidR="004F2715" w:rsidRPr="00DE3DAA">
        <w:rPr>
          <w:rFonts w:ascii="Times New Roman" w:hAnsi="Times New Roman" w:cs="Times New Roman"/>
          <w:sz w:val="26"/>
          <w:szCs w:val="26"/>
        </w:rPr>
        <w:t xml:space="preserve">were noted in the development of </w:t>
      </w:r>
      <w:proofErr w:type="spellStart"/>
      <w:r w:rsidR="004F2715" w:rsidRPr="00DE3DAA">
        <w:rPr>
          <w:rFonts w:ascii="Times New Roman" w:hAnsi="Times New Roman" w:cs="Times New Roman"/>
          <w:sz w:val="26"/>
          <w:szCs w:val="26"/>
        </w:rPr>
        <w:t>labour</w:t>
      </w:r>
      <w:proofErr w:type="spellEnd"/>
      <w:r w:rsidR="004F2715" w:rsidRPr="00DE3DAA">
        <w:rPr>
          <w:rFonts w:ascii="Times New Roman" w:hAnsi="Times New Roman" w:cs="Times New Roman"/>
          <w:sz w:val="26"/>
          <w:szCs w:val="26"/>
        </w:rPr>
        <w:t xml:space="preserve"> law policy sector in the 1980s.</w:t>
      </w:r>
      <w:r w:rsidR="000E0C34" w:rsidRPr="00DE3DAA">
        <w:rPr>
          <w:rStyle w:val="ae"/>
          <w:rFonts w:ascii="Times New Roman" w:hAnsi="Times New Roman" w:cs="Times New Roman"/>
          <w:sz w:val="26"/>
          <w:szCs w:val="26"/>
        </w:rPr>
        <w:footnoteReference w:id="192"/>
      </w:r>
      <w:r w:rsidR="00AE2643" w:rsidRPr="00DE3DAA">
        <w:rPr>
          <w:rFonts w:ascii="Times New Roman" w:hAnsi="Times New Roman" w:cs="Times New Roman"/>
          <w:sz w:val="26"/>
          <w:szCs w:val="26"/>
        </w:rPr>
        <w:t xml:space="preserve"> </w:t>
      </w:r>
      <w:r w:rsidR="00F05E91" w:rsidRPr="00DE3DAA">
        <w:rPr>
          <w:rFonts w:ascii="Times New Roman" w:hAnsi="Times New Roman" w:cs="Times New Roman"/>
          <w:sz w:val="26"/>
          <w:szCs w:val="26"/>
        </w:rPr>
        <w:t xml:space="preserve">As the principle policy document of the New </w:t>
      </w:r>
      <w:proofErr w:type="spellStart"/>
      <w:r w:rsidR="00F05E91" w:rsidRPr="00DE3DAA">
        <w:rPr>
          <w:rFonts w:ascii="Times New Roman" w:hAnsi="Times New Roman" w:cs="Times New Roman"/>
          <w:sz w:val="26"/>
          <w:szCs w:val="26"/>
        </w:rPr>
        <w:t>Labour</w:t>
      </w:r>
      <w:proofErr w:type="spellEnd"/>
      <w:r w:rsidR="00F05E91" w:rsidRPr="00DE3DAA">
        <w:rPr>
          <w:rFonts w:ascii="Times New Roman" w:hAnsi="Times New Roman" w:cs="Times New Roman"/>
          <w:sz w:val="26"/>
          <w:szCs w:val="26"/>
        </w:rPr>
        <w:t xml:space="preserve"> administration for the </w:t>
      </w:r>
      <w:r w:rsidR="00BB3272" w:rsidRPr="00DE3DAA">
        <w:rPr>
          <w:rFonts w:ascii="Times New Roman" w:hAnsi="Times New Roman" w:cs="Times New Roman"/>
          <w:sz w:val="26"/>
          <w:szCs w:val="26"/>
        </w:rPr>
        <w:t>legislation relating both to individual rights at work and to collective representation at work,</w:t>
      </w:r>
      <w:r w:rsidR="00F05E91" w:rsidRPr="00DE3DAA">
        <w:rPr>
          <w:rFonts w:ascii="Times New Roman" w:hAnsi="Times New Roman" w:cs="Times New Roman"/>
          <w:sz w:val="26"/>
          <w:szCs w:val="26"/>
        </w:rPr>
        <w:t xml:space="preserve"> the White Paper of May 1998, Fairness at Work</w:t>
      </w:r>
      <w:r w:rsidR="00DF714B" w:rsidRPr="00DE3DAA">
        <w:rPr>
          <w:rFonts w:ascii="Times New Roman" w:hAnsi="Times New Roman" w:cs="Times New Roman"/>
          <w:sz w:val="26"/>
          <w:szCs w:val="26"/>
        </w:rPr>
        <w:t xml:space="preserve"> </w:t>
      </w:r>
      <w:r w:rsidR="00BB3272" w:rsidRPr="00DE3DAA">
        <w:rPr>
          <w:rFonts w:ascii="Times New Roman" w:hAnsi="Times New Roman" w:cs="Times New Roman"/>
          <w:sz w:val="26"/>
          <w:szCs w:val="26"/>
        </w:rPr>
        <w:t xml:space="preserve">represented a significance not only of settling the old or traditional conflicts surrounding </w:t>
      </w:r>
      <w:proofErr w:type="spellStart"/>
      <w:r w:rsidR="00BB3272" w:rsidRPr="00DE3DAA">
        <w:rPr>
          <w:rFonts w:ascii="Times New Roman" w:hAnsi="Times New Roman" w:cs="Times New Roman"/>
          <w:sz w:val="26"/>
          <w:szCs w:val="26"/>
        </w:rPr>
        <w:t>labour</w:t>
      </w:r>
      <w:proofErr w:type="spellEnd"/>
      <w:r w:rsidR="00BB3272" w:rsidRPr="00DE3DAA">
        <w:rPr>
          <w:rFonts w:ascii="Times New Roman" w:hAnsi="Times New Roman" w:cs="Times New Roman"/>
          <w:sz w:val="26"/>
          <w:szCs w:val="26"/>
        </w:rPr>
        <w:t xml:space="preserve"> law, but also for active engagement in a more broadly based kind of </w:t>
      </w:r>
      <w:proofErr w:type="spellStart"/>
      <w:r w:rsidR="00BB3272" w:rsidRPr="00DE3DAA">
        <w:rPr>
          <w:rFonts w:ascii="Times New Roman" w:hAnsi="Times New Roman" w:cs="Times New Roman"/>
          <w:sz w:val="26"/>
          <w:szCs w:val="26"/>
        </w:rPr>
        <w:t>labour</w:t>
      </w:r>
      <w:proofErr w:type="spellEnd"/>
      <w:r w:rsidR="00BB3272" w:rsidRPr="00DE3DAA">
        <w:rPr>
          <w:rFonts w:ascii="Times New Roman" w:hAnsi="Times New Roman" w:cs="Times New Roman"/>
          <w:sz w:val="26"/>
          <w:szCs w:val="26"/>
        </w:rPr>
        <w:t xml:space="preserve"> market regulation.</w:t>
      </w:r>
      <w:r w:rsidR="000E0C34" w:rsidRPr="00DE3DAA">
        <w:rPr>
          <w:rStyle w:val="ae"/>
          <w:rFonts w:ascii="Times New Roman" w:hAnsi="Times New Roman" w:cs="Times New Roman"/>
          <w:sz w:val="26"/>
          <w:szCs w:val="26"/>
        </w:rPr>
        <w:footnoteReference w:id="193"/>
      </w:r>
      <w:r w:rsidR="00BB3272" w:rsidRPr="00DE3DAA">
        <w:rPr>
          <w:rFonts w:ascii="Times New Roman" w:hAnsi="Times New Roman" w:cs="Times New Roman"/>
          <w:sz w:val="26"/>
          <w:szCs w:val="26"/>
        </w:rPr>
        <w:t xml:space="preserve"> It declares that ‘Britain needs a flexible and efficient </w:t>
      </w:r>
      <w:proofErr w:type="spellStart"/>
      <w:r w:rsidR="00BB3272" w:rsidRPr="00DE3DAA">
        <w:rPr>
          <w:rFonts w:ascii="Times New Roman" w:hAnsi="Times New Roman" w:cs="Times New Roman"/>
          <w:sz w:val="26"/>
          <w:szCs w:val="26"/>
        </w:rPr>
        <w:t>labour</w:t>
      </w:r>
      <w:proofErr w:type="spellEnd"/>
      <w:r w:rsidR="00BB3272" w:rsidRPr="00DE3DAA">
        <w:rPr>
          <w:rFonts w:ascii="Times New Roman" w:hAnsi="Times New Roman" w:cs="Times New Roman"/>
          <w:sz w:val="26"/>
          <w:szCs w:val="26"/>
        </w:rPr>
        <w:t xml:space="preserve"> market in which enterprise can flourish, companies can grow and wealth can be created’</w:t>
      </w:r>
      <w:r w:rsidR="00EC5905" w:rsidRPr="00DE3DAA">
        <w:rPr>
          <w:rFonts w:ascii="Times New Roman" w:hAnsi="Times New Roman" w:cs="Times New Roman"/>
          <w:sz w:val="26"/>
          <w:szCs w:val="26"/>
        </w:rPr>
        <w:t>;</w:t>
      </w:r>
      <w:r w:rsidR="000E0C34" w:rsidRPr="00DE3DAA">
        <w:rPr>
          <w:rStyle w:val="ae"/>
          <w:rFonts w:ascii="Times New Roman" w:hAnsi="Times New Roman" w:cs="Times New Roman"/>
          <w:sz w:val="26"/>
          <w:szCs w:val="26"/>
        </w:rPr>
        <w:footnoteReference w:id="194"/>
      </w:r>
      <w:r w:rsidR="00EC5905" w:rsidRPr="00DE3DAA">
        <w:rPr>
          <w:rFonts w:ascii="Times New Roman" w:hAnsi="Times New Roman" w:cs="Times New Roman"/>
          <w:sz w:val="26"/>
          <w:szCs w:val="26"/>
        </w:rPr>
        <w:t xml:space="preserve"> the pursuit of this objective is identified strongly with the combating of high unemployment and extensive social exclusion;</w:t>
      </w:r>
      <w:r w:rsidR="000E0C34" w:rsidRPr="00DE3DAA">
        <w:rPr>
          <w:rStyle w:val="ae"/>
          <w:rFonts w:ascii="Times New Roman" w:hAnsi="Times New Roman" w:cs="Times New Roman"/>
          <w:sz w:val="26"/>
          <w:szCs w:val="26"/>
        </w:rPr>
        <w:footnoteReference w:id="195"/>
      </w:r>
      <w:r w:rsidR="00EC5905" w:rsidRPr="00DE3DAA">
        <w:rPr>
          <w:rFonts w:ascii="Times New Roman" w:hAnsi="Times New Roman" w:cs="Times New Roman"/>
          <w:sz w:val="26"/>
          <w:szCs w:val="26"/>
        </w:rPr>
        <w:t xml:space="preserve"> and it is asserted that ‘For those in work, the Government has two key objectives for the </w:t>
      </w:r>
      <w:proofErr w:type="spellStart"/>
      <w:r w:rsidR="00EC5905" w:rsidRPr="00DE3DAA">
        <w:rPr>
          <w:rFonts w:ascii="Times New Roman" w:hAnsi="Times New Roman" w:cs="Times New Roman"/>
          <w:sz w:val="26"/>
          <w:szCs w:val="26"/>
        </w:rPr>
        <w:t>labour</w:t>
      </w:r>
      <w:proofErr w:type="spellEnd"/>
      <w:r w:rsidR="00EC5905" w:rsidRPr="00DE3DAA">
        <w:rPr>
          <w:rFonts w:ascii="Times New Roman" w:hAnsi="Times New Roman" w:cs="Times New Roman"/>
          <w:sz w:val="26"/>
          <w:szCs w:val="26"/>
        </w:rPr>
        <w:t xml:space="preserve"> market; efficiency and fairness’, these being seen as ‘wholly compatible’ objectives in the sense that ‘It is perfectly possible to have a modern, flexible and efficient </w:t>
      </w:r>
      <w:proofErr w:type="spellStart"/>
      <w:r w:rsidR="00EC5905" w:rsidRPr="00DE3DAA">
        <w:rPr>
          <w:rFonts w:ascii="Times New Roman" w:hAnsi="Times New Roman" w:cs="Times New Roman"/>
          <w:sz w:val="26"/>
          <w:szCs w:val="26"/>
        </w:rPr>
        <w:t>labour</w:t>
      </w:r>
      <w:proofErr w:type="spellEnd"/>
      <w:r w:rsidR="00EC5905" w:rsidRPr="00DE3DAA">
        <w:rPr>
          <w:rFonts w:ascii="Times New Roman" w:hAnsi="Times New Roman" w:cs="Times New Roman"/>
          <w:sz w:val="26"/>
          <w:szCs w:val="26"/>
        </w:rPr>
        <w:t xml:space="preserve"> market which is both a vital engine for economic growth and business output and a means for people to find well-paid and satisfying jobs.</w:t>
      </w:r>
      <w:r w:rsidR="000E0C34" w:rsidRPr="00DE3DAA">
        <w:rPr>
          <w:rStyle w:val="ae"/>
          <w:rFonts w:ascii="Times New Roman" w:hAnsi="Times New Roman" w:cs="Times New Roman"/>
          <w:sz w:val="26"/>
          <w:szCs w:val="26"/>
        </w:rPr>
        <w:footnoteReference w:id="196"/>
      </w:r>
      <w:r w:rsidR="00175AAB" w:rsidRPr="00DE3DAA">
        <w:rPr>
          <w:rFonts w:ascii="Times New Roman" w:hAnsi="Times New Roman" w:cs="Times New Roman"/>
          <w:sz w:val="26"/>
          <w:szCs w:val="26"/>
        </w:rPr>
        <w:t xml:space="preserve"> The White Paper further elaborates the</w:t>
      </w:r>
      <w:r w:rsidR="009E6BC2" w:rsidRPr="00DE3DAA">
        <w:rPr>
          <w:rFonts w:ascii="Times New Roman" w:hAnsi="Times New Roman" w:cs="Times New Roman"/>
          <w:sz w:val="26"/>
          <w:szCs w:val="26"/>
        </w:rPr>
        <w:t xml:space="preserve"> key terms:</w:t>
      </w:r>
    </w:p>
    <w:p w14:paraId="55A39B8A" w14:textId="1B4B2BC5" w:rsidR="009E6BC2" w:rsidRPr="00DE3DAA" w:rsidRDefault="009E6BC2" w:rsidP="00F04349">
      <w:pPr>
        <w:pStyle w:val="a3"/>
        <w:ind w:leftChars="0" w:left="1520"/>
        <w:rPr>
          <w:rFonts w:ascii="Times New Roman" w:hAnsi="Times New Roman" w:cs="Times New Roman"/>
          <w:sz w:val="26"/>
          <w:szCs w:val="26"/>
        </w:rPr>
      </w:pPr>
    </w:p>
    <w:p w14:paraId="2DDAF138" w14:textId="2A5B76C5" w:rsidR="009E6BC2" w:rsidRPr="00DE3DAA" w:rsidRDefault="009E6BC2" w:rsidP="009E6BC2">
      <w:pPr>
        <w:pStyle w:val="a3"/>
        <w:ind w:leftChars="860" w:left="1720"/>
        <w:rPr>
          <w:rFonts w:ascii="Times New Roman" w:hAnsi="Times New Roman" w:cs="Times New Roman"/>
          <w:sz w:val="26"/>
          <w:szCs w:val="26"/>
        </w:rPr>
      </w:pPr>
      <w:r w:rsidRPr="00DE3DAA">
        <w:rPr>
          <w:rFonts w:ascii="Times New Roman" w:hAnsi="Times New Roman" w:cs="Times New Roman"/>
          <w:sz w:val="26"/>
          <w:szCs w:val="26"/>
        </w:rPr>
        <w:t xml:space="preserve">The keys to securing efficiency and fairness are employability and flexibility. Employability means ensuring that people are well prepared, trained and supported, both initially as they enter the </w:t>
      </w:r>
      <w:proofErr w:type="spellStart"/>
      <w:r w:rsidRPr="00DE3DAA">
        <w:rPr>
          <w:rFonts w:ascii="Times New Roman" w:hAnsi="Times New Roman" w:cs="Times New Roman"/>
          <w:sz w:val="26"/>
          <w:szCs w:val="26"/>
        </w:rPr>
        <w:t>labour</w:t>
      </w:r>
      <w:proofErr w:type="spellEnd"/>
      <w:r w:rsidRPr="00DE3DAA">
        <w:rPr>
          <w:rFonts w:ascii="Times New Roman" w:hAnsi="Times New Roman" w:cs="Times New Roman"/>
          <w:sz w:val="26"/>
          <w:szCs w:val="26"/>
        </w:rPr>
        <w:t xml:space="preserve"> market, and throughout their working lives. Flexibility means businesses being able to adapt quickly to changing demand, technology and competition. By enabling business success, flexibility promotes employment and prosperity.</w:t>
      </w:r>
      <w:r w:rsidR="000E0C34" w:rsidRPr="00DE3DAA">
        <w:rPr>
          <w:rStyle w:val="ae"/>
          <w:rFonts w:ascii="Times New Roman" w:hAnsi="Times New Roman" w:cs="Times New Roman"/>
          <w:sz w:val="26"/>
          <w:szCs w:val="26"/>
        </w:rPr>
        <w:footnoteReference w:id="197"/>
      </w:r>
    </w:p>
    <w:p w14:paraId="048BEDE0" w14:textId="77777777" w:rsidR="00EB232D" w:rsidRPr="00DE3DAA" w:rsidRDefault="00EB232D" w:rsidP="00F04349">
      <w:pPr>
        <w:pStyle w:val="a3"/>
        <w:ind w:leftChars="0" w:left="1520"/>
        <w:rPr>
          <w:rFonts w:ascii="Times New Roman" w:hAnsi="Times New Roman" w:cs="Times New Roman"/>
          <w:sz w:val="26"/>
          <w:szCs w:val="26"/>
        </w:rPr>
      </w:pPr>
    </w:p>
    <w:p w14:paraId="66B9CC87" w14:textId="5FB15338" w:rsidR="00FC1B45" w:rsidRPr="00DE3DAA" w:rsidRDefault="00A14EAD" w:rsidP="00F04349">
      <w:pPr>
        <w:pStyle w:val="a3"/>
        <w:ind w:leftChars="0" w:left="1520"/>
        <w:rPr>
          <w:rFonts w:ascii="Times New Roman" w:hAnsi="Times New Roman" w:cs="Times New Roman"/>
          <w:sz w:val="26"/>
          <w:szCs w:val="26"/>
        </w:rPr>
      </w:pPr>
      <w:r w:rsidRPr="00DE3DAA">
        <w:rPr>
          <w:rFonts w:ascii="Times New Roman" w:hAnsi="Times New Roman" w:cs="Times New Roman"/>
          <w:sz w:val="26"/>
          <w:szCs w:val="26"/>
        </w:rPr>
        <w:t xml:space="preserve">And </w:t>
      </w:r>
      <w:r w:rsidR="00A91C5C" w:rsidRPr="00DE3DAA">
        <w:rPr>
          <w:rFonts w:ascii="Times New Roman" w:hAnsi="Times New Roman" w:cs="Times New Roman"/>
          <w:sz w:val="26"/>
          <w:szCs w:val="26"/>
        </w:rPr>
        <w:t xml:space="preserve">then </w:t>
      </w:r>
      <w:r w:rsidRPr="00DE3DAA">
        <w:rPr>
          <w:rFonts w:ascii="Times New Roman" w:hAnsi="Times New Roman" w:cs="Times New Roman"/>
          <w:sz w:val="26"/>
          <w:szCs w:val="26"/>
        </w:rPr>
        <w:t xml:space="preserve">it </w:t>
      </w:r>
      <w:r w:rsidR="00A91C5C" w:rsidRPr="00DE3DAA">
        <w:rPr>
          <w:rFonts w:ascii="Times New Roman" w:hAnsi="Times New Roman" w:cs="Times New Roman"/>
          <w:sz w:val="26"/>
          <w:szCs w:val="26"/>
        </w:rPr>
        <w:t xml:space="preserve">confirms </w:t>
      </w:r>
      <w:r w:rsidRPr="00DE3DAA">
        <w:rPr>
          <w:rFonts w:ascii="Times New Roman" w:hAnsi="Times New Roman" w:cs="Times New Roman"/>
          <w:sz w:val="26"/>
          <w:szCs w:val="26"/>
        </w:rPr>
        <w:t>its objectives of embodying the regulation of employment relations within a</w:t>
      </w:r>
      <w:r w:rsidR="008D53EE" w:rsidRPr="00DE3DAA">
        <w:rPr>
          <w:rFonts w:ascii="Times New Roman" w:hAnsi="Times New Roman" w:cs="Times New Roman"/>
          <w:sz w:val="26"/>
          <w:szCs w:val="26"/>
        </w:rPr>
        <w:t xml:space="preserve"> wider set of economic and social interests.</w:t>
      </w:r>
    </w:p>
    <w:p w14:paraId="797999AE" w14:textId="4909B141" w:rsidR="00A14EAD" w:rsidRPr="00DE3DAA" w:rsidRDefault="00A14EAD" w:rsidP="00F04349">
      <w:pPr>
        <w:pStyle w:val="a3"/>
        <w:ind w:leftChars="0" w:left="1520"/>
        <w:rPr>
          <w:rFonts w:ascii="Times New Roman" w:hAnsi="Times New Roman" w:cs="Times New Roman"/>
          <w:sz w:val="26"/>
          <w:szCs w:val="26"/>
        </w:rPr>
      </w:pPr>
    </w:p>
    <w:p w14:paraId="13E1ECFF" w14:textId="0122DE88" w:rsidR="00A14EAD" w:rsidRPr="00DE3DAA" w:rsidRDefault="00A14EAD" w:rsidP="00F04349">
      <w:pPr>
        <w:pStyle w:val="a3"/>
        <w:ind w:leftChars="0" w:left="1520"/>
        <w:rPr>
          <w:rFonts w:ascii="Times New Roman" w:hAnsi="Times New Roman" w:cs="Times New Roman"/>
          <w:sz w:val="26"/>
          <w:szCs w:val="26"/>
        </w:rPr>
      </w:pPr>
      <w:r w:rsidRPr="00DE3DAA">
        <w:rPr>
          <w:rFonts w:ascii="Times New Roman" w:hAnsi="Times New Roman" w:cs="Times New Roman"/>
          <w:sz w:val="26"/>
          <w:szCs w:val="26"/>
        </w:rPr>
        <w:t xml:space="preserve">To support both employability and flexibility we need a </w:t>
      </w:r>
      <w:proofErr w:type="spellStart"/>
      <w:r w:rsidRPr="00DE3DAA">
        <w:rPr>
          <w:rFonts w:ascii="Times New Roman" w:hAnsi="Times New Roman" w:cs="Times New Roman"/>
          <w:sz w:val="26"/>
          <w:szCs w:val="26"/>
        </w:rPr>
        <w:t>labour</w:t>
      </w:r>
      <w:proofErr w:type="spellEnd"/>
      <w:r w:rsidRPr="00DE3DAA">
        <w:rPr>
          <w:rFonts w:ascii="Times New Roman" w:hAnsi="Times New Roman" w:cs="Times New Roman"/>
          <w:sz w:val="26"/>
          <w:szCs w:val="26"/>
        </w:rPr>
        <w:t xml:space="preserve"> market culture and a legislative framework which together promote economic growth, enhance competitiveness, encourage entrepreneurship and foster job creation.</w:t>
      </w:r>
      <w:r w:rsidR="00396FEB" w:rsidRPr="00DE3DAA">
        <w:rPr>
          <w:rStyle w:val="ae"/>
          <w:rFonts w:ascii="Times New Roman" w:hAnsi="Times New Roman" w:cs="Times New Roman"/>
          <w:sz w:val="26"/>
          <w:szCs w:val="26"/>
        </w:rPr>
        <w:footnoteReference w:id="198"/>
      </w:r>
    </w:p>
    <w:p w14:paraId="4C362E5F" w14:textId="559DD604" w:rsidR="00A14EAD" w:rsidRPr="00DE3DAA" w:rsidRDefault="00A14EAD" w:rsidP="00F04349">
      <w:pPr>
        <w:pStyle w:val="a3"/>
        <w:ind w:leftChars="0" w:left="1520"/>
        <w:rPr>
          <w:rFonts w:ascii="Times New Roman" w:hAnsi="Times New Roman" w:cs="Times New Roman"/>
          <w:sz w:val="26"/>
          <w:szCs w:val="26"/>
        </w:rPr>
      </w:pPr>
    </w:p>
    <w:p w14:paraId="6E5C4C37" w14:textId="1DDB7856" w:rsidR="0010663A" w:rsidRPr="00DE3DAA" w:rsidRDefault="00D10234" w:rsidP="00F04349">
      <w:pPr>
        <w:pStyle w:val="a3"/>
        <w:ind w:leftChars="0" w:left="1520"/>
        <w:rPr>
          <w:rFonts w:ascii="Times New Roman" w:hAnsi="Times New Roman" w:cs="Times New Roman"/>
          <w:sz w:val="26"/>
          <w:szCs w:val="26"/>
        </w:rPr>
      </w:pPr>
      <w:r w:rsidRPr="00DE3DAA">
        <w:rPr>
          <w:rFonts w:ascii="Times New Roman" w:hAnsi="Times New Roman" w:cs="Times New Roman"/>
          <w:sz w:val="26"/>
          <w:szCs w:val="26"/>
        </w:rPr>
        <w:t xml:space="preserve">It was observed the various ways in which that approach to </w:t>
      </w:r>
      <w:proofErr w:type="spellStart"/>
      <w:r w:rsidRPr="00DE3DAA">
        <w:rPr>
          <w:rFonts w:ascii="Times New Roman" w:hAnsi="Times New Roman" w:cs="Times New Roman"/>
          <w:sz w:val="26"/>
          <w:szCs w:val="26"/>
        </w:rPr>
        <w:t>labour</w:t>
      </w:r>
      <w:proofErr w:type="spellEnd"/>
      <w:r w:rsidRPr="00DE3DAA">
        <w:rPr>
          <w:rFonts w:ascii="Times New Roman" w:hAnsi="Times New Roman" w:cs="Times New Roman"/>
          <w:sz w:val="26"/>
          <w:szCs w:val="26"/>
        </w:rPr>
        <w:t xml:space="preserve"> legislation was linked up with a similar set of approaches to a number of other kinds of social and economic regulation bearing upon employment relations and the functioning of the </w:t>
      </w:r>
      <w:proofErr w:type="spellStart"/>
      <w:r w:rsidRPr="00DE3DAA">
        <w:rPr>
          <w:rFonts w:ascii="Times New Roman" w:hAnsi="Times New Roman" w:cs="Times New Roman"/>
          <w:sz w:val="26"/>
          <w:szCs w:val="26"/>
        </w:rPr>
        <w:t>labour</w:t>
      </w:r>
      <w:proofErr w:type="spellEnd"/>
      <w:r w:rsidRPr="00DE3DAA">
        <w:rPr>
          <w:rFonts w:ascii="Times New Roman" w:hAnsi="Times New Roman" w:cs="Times New Roman"/>
          <w:sz w:val="26"/>
          <w:szCs w:val="26"/>
        </w:rPr>
        <w:t xml:space="preserve"> market</w:t>
      </w:r>
      <w:r w:rsidR="00E14731" w:rsidRPr="00DE3DAA">
        <w:rPr>
          <w:rFonts w:ascii="Times New Roman" w:hAnsi="Times New Roman" w:cs="Times New Roman"/>
          <w:sz w:val="26"/>
          <w:szCs w:val="26"/>
        </w:rPr>
        <w:t>.</w:t>
      </w:r>
      <w:r w:rsidR="00396FEB" w:rsidRPr="00DE3DAA">
        <w:rPr>
          <w:rStyle w:val="ae"/>
          <w:rFonts w:ascii="Times New Roman" w:hAnsi="Times New Roman" w:cs="Times New Roman"/>
          <w:sz w:val="26"/>
          <w:szCs w:val="26"/>
        </w:rPr>
        <w:footnoteReference w:id="199"/>
      </w:r>
      <w:r w:rsidR="00E14731" w:rsidRPr="00DE3DAA">
        <w:rPr>
          <w:rFonts w:ascii="Times New Roman" w:hAnsi="Times New Roman" w:cs="Times New Roman"/>
          <w:sz w:val="26"/>
          <w:szCs w:val="26"/>
        </w:rPr>
        <w:t xml:space="preserve"> This was</w:t>
      </w:r>
      <w:r w:rsidR="002E4B9C" w:rsidRPr="00DE3DAA">
        <w:rPr>
          <w:rFonts w:ascii="Times New Roman" w:hAnsi="Times New Roman" w:cs="Times New Roman"/>
          <w:sz w:val="26"/>
          <w:szCs w:val="26"/>
        </w:rPr>
        <w:t xml:space="preserve"> well</w:t>
      </w:r>
      <w:r w:rsidR="00E14731" w:rsidRPr="00DE3DAA">
        <w:rPr>
          <w:rFonts w:ascii="Times New Roman" w:hAnsi="Times New Roman" w:cs="Times New Roman"/>
          <w:sz w:val="26"/>
          <w:szCs w:val="26"/>
        </w:rPr>
        <w:t xml:space="preserve"> shown b</w:t>
      </w:r>
      <w:r w:rsidR="002E4B9C" w:rsidRPr="00DE3DAA">
        <w:rPr>
          <w:rFonts w:ascii="Times New Roman" w:hAnsi="Times New Roman" w:cs="Times New Roman"/>
          <w:sz w:val="26"/>
          <w:szCs w:val="26"/>
        </w:rPr>
        <w:t xml:space="preserve">y the way in which, in the sphere of taxation and social security provision, a review initiated by the Treasury and published at the end of 1997 announced, in a manner very comparable with that of </w:t>
      </w:r>
      <w:r w:rsidR="002E4B9C" w:rsidRPr="00DE3DAA">
        <w:rPr>
          <w:rFonts w:ascii="Times New Roman" w:hAnsi="Times New Roman" w:cs="Times New Roman"/>
          <w:i/>
          <w:sz w:val="26"/>
          <w:szCs w:val="26"/>
        </w:rPr>
        <w:t>Fairness at Work</w:t>
      </w:r>
      <w:r w:rsidR="002E4B9C" w:rsidRPr="00DE3DAA">
        <w:rPr>
          <w:rFonts w:ascii="Times New Roman" w:hAnsi="Times New Roman" w:cs="Times New Roman"/>
          <w:sz w:val="26"/>
          <w:szCs w:val="26"/>
        </w:rPr>
        <w:t xml:space="preserve">, the institution of a new agenda which was essentially one of active </w:t>
      </w:r>
      <w:proofErr w:type="spellStart"/>
      <w:r w:rsidR="002E4B9C" w:rsidRPr="00DE3DAA">
        <w:rPr>
          <w:rFonts w:ascii="Times New Roman" w:hAnsi="Times New Roman" w:cs="Times New Roman"/>
          <w:sz w:val="26"/>
          <w:szCs w:val="26"/>
        </w:rPr>
        <w:t>labour</w:t>
      </w:r>
      <w:proofErr w:type="spellEnd"/>
      <w:r w:rsidR="002E4B9C" w:rsidRPr="00DE3DAA">
        <w:rPr>
          <w:rFonts w:ascii="Times New Roman" w:hAnsi="Times New Roman" w:cs="Times New Roman"/>
          <w:sz w:val="26"/>
          <w:szCs w:val="26"/>
        </w:rPr>
        <w:t xml:space="preserve"> market regulation</w:t>
      </w:r>
      <w:r w:rsidR="00E14731" w:rsidRPr="00DE3DAA">
        <w:rPr>
          <w:rFonts w:ascii="Times New Roman" w:hAnsi="Times New Roman" w:cs="Times New Roman"/>
          <w:sz w:val="26"/>
          <w:szCs w:val="26"/>
        </w:rPr>
        <w:t>.</w:t>
      </w:r>
      <w:r w:rsidR="00396FEB" w:rsidRPr="00DE3DAA">
        <w:rPr>
          <w:rStyle w:val="ae"/>
          <w:rFonts w:ascii="Times New Roman" w:hAnsi="Times New Roman" w:cs="Times New Roman"/>
          <w:sz w:val="26"/>
          <w:szCs w:val="26"/>
        </w:rPr>
        <w:footnoteReference w:id="200"/>
      </w:r>
      <w:r w:rsidR="00FC1482" w:rsidRPr="00DE3DAA">
        <w:rPr>
          <w:rFonts w:ascii="Times New Roman" w:hAnsi="Times New Roman" w:cs="Times New Roman"/>
          <w:sz w:val="26"/>
          <w:szCs w:val="26"/>
        </w:rPr>
        <w:t xml:space="preserve"> </w:t>
      </w:r>
      <w:r w:rsidR="003643E0" w:rsidRPr="00DE3DAA">
        <w:rPr>
          <w:rFonts w:ascii="Times New Roman" w:hAnsi="Times New Roman" w:cs="Times New Roman"/>
          <w:sz w:val="26"/>
          <w:szCs w:val="26"/>
        </w:rPr>
        <w:t xml:space="preserve">There was an administration directed from the ‘twin peaks’ of the Cabinet Office and the Treasury by both the Prime Minister and the Chancellor, </w:t>
      </w:r>
      <w:proofErr w:type="spellStart"/>
      <w:r w:rsidR="003643E0" w:rsidRPr="00DE3DAA">
        <w:rPr>
          <w:rFonts w:ascii="Times New Roman" w:hAnsi="Times New Roman" w:cs="Times New Roman"/>
          <w:sz w:val="26"/>
          <w:szCs w:val="26"/>
        </w:rPr>
        <w:t>Mr</w:t>
      </w:r>
      <w:proofErr w:type="spellEnd"/>
      <w:r w:rsidR="003643E0" w:rsidRPr="00DE3DAA">
        <w:rPr>
          <w:rFonts w:ascii="Times New Roman" w:hAnsi="Times New Roman" w:cs="Times New Roman"/>
          <w:sz w:val="26"/>
          <w:szCs w:val="26"/>
        </w:rPr>
        <w:t xml:space="preserve"> Gordon Brown.</w:t>
      </w:r>
      <w:r w:rsidR="00396FEB" w:rsidRPr="00DE3DAA">
        <w:rPr>
          <w:rStyle w:val="ae"/>
          <w:rFonts w:ascii="Times New Roman" w:hAnsi="Times New Roman" w:cs="Times New Roman"/>
          <w:sz w:val="26"/>
          <w:szCs w:val="26"/>
        </w:rPr>
        <w:footnoteReference w:id="201"/>
      </w:r>
      <w:r w:rsidR="003643E0" w:rsidRPr="00DE3DAA">
        <w:rPr>
          <w:rFonts w:ascii="Times New Roman" w:hAnsi="Times New Roman" w:cs="Times New Roman"/>
          <w:sz w:val="26"/>
          <w:szCs w:val="26"/>
        </w:rPr>
        <w:t xml:space="preserve"> </w:t>
      </w:r>
      <w:r w:rsidR="003643E0" w:rsidRPr="00DE3DAA">
        <w:rPr>
          <w:rFonts w:ascii="Times New Roman" w:hAnsi="Times New Roman" w:cs="Times New Roman"/>
          <w:sz w:val="26"/>
          <w:szCs w:val="26"/>
        </w:rPr>
        <w:lastRenderedPageBreak/>
        <w:t>The most</w:t>
      </w:r>
      <w:r w:rsidR="00FA4A98" w:rsidRPr="00DE3DAA">
        <w:rPr>
          <w:rFonts w:ascii="Times New Roman" w:hAnsi="Times New Roman" w:cs="Times New Roman"/>
          <w:sz w:val="26"/>
          <w:szCs w:val="26"/>
        </w:rPr>
        <w:t xml:space="preserve"> significant and </w:t>
      </w:r>
      <w:r w:rsidR="003643E0" w:rsidRPr="00DE3DAA">
        <w:rPr>
          <w:rFonts w:ascii="Times New Roman" w:hAnsi="Times New Roman" w:cs="Times New Roman"/>
          <w:sz w:val="26"/>
          <w:szCs w:val="26"/>
        </w:rPr>
        <w:t xml:space="preserve">over-arching policy initiative of the first New </w:t>
      </w:r>
      <w:proofErr w:type="spellStart"/>
      <w:r w:rsidR="003643E0" w:rsidRPr="00DE3DAA">
        <w:rPr>
          <w:rFonts w:ascii="Times New Roman" w:hAnsi="Times New Roman" w:cs="Times New Roman"/>
          <w:sz w:val="26"/>
          <w:szCs w:val="26"/>
        </w:rPr>
        <w:t>Labour</w:t>
      </w:r>
      <w:proofErr w:type="spellEnd"/>
      <w:r w:rsidR="003643E0" w:rsidRPr="00DE3DAA">
        <w:rPr>
          <w:rFonts w:ascii="Times New Roman" w:hAnsi="Times New Roman" w:cs="Times New Roman"/>
          <w:sz w:val="26"/>
          <w:szCs w:val="26"/>
        </w:rPr>
        <w:t xml:space="preserve"> government </w:t>
      </w:r>
      <w:r w:rsidR="00FA4A98" w:rsidRPr="00DE3DAA">
        <w:rPr>
          <w:rFonts w:ascii="Times New Roman" w:hAnsi="Times New Roman" w:cs="Times New Roman"/>
          <w:sz w:val="26"/>
          <w:szCs w:val="26"/>
        </w:rPr>
        <w:t>can be identified</w:t>
      </w:r>
      <w:r w:rsidR="003643E0" w:rsidRPr="00DE3DAA">
        <w:rPr>
          <w:rFonts w:ascii="Times New Roman" w:hAnsi="Times New Roman" w:cs="Times New Roman"/>
          <w:sz w:val="26"/>
          <w:szCs w:val="26"/>
        </w:rPr>
        <w:t xml:space="preserve"> the Comprehensive Spending Review initiated by the Treasury and launched within a month of the government’s coming into power.</w:t>
      </w:r>
      <w:r w:rsidR="00396FEB" w:rsidRPr="00DE3DAA">
        <w:rPr>
          <w:rStyle w:val="ae"/>
          <w:rFonts w:ascii="Times New Roman" w:hAnsi="Times New Roman" w:cs="Times New Roman"/>
          <w:sz w:val="26"/>
          <w:szCs w:val="26"/>
        </w:rPr>
        <w:footnoteReference w:id="202"/>
      </w:r>
      <w:r w:rsidR="00B94F34" w:rsidRPr="00DE3DAA">
        <w:rPr>
          <w:rFonts w:ascii="Times New Roman" w:hAnsi="Times New Roman" w:cs="Times New Roman"/>
          <w:sz w:val="26"/>
          <w:szCs w:val="26"/>
        </w:rPr>
        <w:t xml:space="preserve"> This review was to lay the policy foundations for a whole governmental </w:t>
      </w:r>
      <w:proofErr w:type="spellStart"/>
      <w:r w:rsidR="00B94F34" w:rsidRPr="00DE3DAA">
        <w:rPr>
          <w:rFonts w:ascii="Times New Roman" w:hAnsi="Times New Roman" w:cs="Times New Roman"/>
          <w:sz w:val="26"/>
          <w:szCs w:val="26"/>
        </w:rPr>
        <w:t>programme</w:t>
      </w:r>
      <w:proofErr w:type="spellEnd"/>
      <w:r w:rsidR="00B94F34" w:rsidRPr="00DE3DAA">
        <w:rPr>
          <w:rFonts w:ascii="Times New Roman" w:hAnsi="Times New Roman" w:cs="Times New Roman"/>
          <w:sz w:val="26"/>
          <w:szCs w:val="26"/>
        </w:rPr>
        <w:t xml:space="preserve"> of control of public spending and of inflation and taxation, intended to provide the basis for full employment and economic prosperity, and generally regarded as remarkably successful in achieving those ends over the space of a number of years.</w:t>
      </w:r>
      <w:r w:rsidR="00396FEB" w:rsidRPr="00DE3DAA">
        <w:rPr>
          <w:rStyle w:val="ae"/>
          <w:rFonts w:ascii="Times New Roman" w:hAnsi="Times New Roman" w:cs="Times New Roman"/>
          <w:sz w:val="26"/>
          <w:szCs w:val="26"/>
        </w:rPr>
        <w:footnoteReference w:id="203"/>
      </w:r>
      <w:r w:rsidR="003A7910" w:rsidRPr="00DE3DAA">
        <w:rPr>
          <w:rFonts w:ascii="Times New Roman" w:hAnsi="Times New Roman" w:cs="Times New Roman"/>
          <w:sz w:val="26"/>
          <w:szCs w:val="26"/>
        </w:rPr>
        <w:t xml:space="preserve"> </w:t>
      </w:r>
      <w:r w:rsidR="003045A3" w:rsidRPr="00DE3DAA">
        <w:rPr>
          <w:rFonts w:ascii="Times New Roman" w:hAnsi="Times New Roman" w:cs="Times New Roman"/>
          <w:sz w:val="26"/>
          <w:szCs w:val="26"/>
        </w:rPr>
        <w:t xml:space="preserve">Between this programmatic approach and the enterprise of re-structuring the economy identified as the backdrop to the </w:t>
      </w:r>
      <w:proofErr w:type="spellStart"/>
      <w:r w:rsidR="003045A3" w:rsidRPr="00DE3DAA">
        <w:rPr>
          <w:rFonts w:ascii="Times New Roman" w:hAnsi="Times New Roman" w:cs="Times New Roman"/>
          <w:sz w:val="26"/>
          <w:szCs w:val="26"/>
        </w:rPr>
        <w:t>labour</w:t>
      </w:r>
      <w:proofErr w:type="spellEnd"/>
      <w:r w:rsidR="003045A3" w:rsidRPr="00DE3DAA">
        <w:rPr>
          <w:rFonts w:ascii="Times New Roman" w:hAnsi="Times New Roman" w:cs="Times New Roman"/>
          <w:sz w:val="26"/>
          <w:szCs w:val="26"/>
        </w:rPr>
        <w:t xml:space="preserve"> market regulation of Conservative government in late 1980s and at the beginning of the 1990s, </w:t>
      </w:r>
      <w:r w:rsidR="006F4DA5" w:rsidRPr="00DE3DAA">
        <w:rPr>
          <w:rFonts w:ascii="Times New Roman" w:hAnsi="Times New Roman" w:cs="Times New Roman"/>
          <w:sz w:val="26"/>
          <w:szCs w:val="26"/>
        </w:rPr>
        <w:t>it can be said</w:t>
      </w:r>
      <w:r w:rsidR="003045A3" w:rsidRPr="00DE3DAA">
        <w:rPr>
          <w:rFonts w:ascii="Times New Roman" w:hAnsi="Times New Roman" w:cs="Times New Roman"/>
          <w:sz w:val="26"/>
          <w:szCs w:val="26"/>
        </w:rPr>
        <w:t xml:space="preserve"> there were evident resonances.</w:t>
      </w:r>
      <w:r w:rsidR="00396FEB" w:rsidRPr="00DE3DAA">
        <w:rPr>
          <w:rStyle w:val="ae"/>
          <w:rFonts w:ascii="Times New Roman" w:hAnsi="Times New Roman" w:cs="Times New Roman"/>
          <w:sz w:val="26"/>
          <w:szCs w:val="26"/>
        </w:rPr>
        <w:footnoteReference w:id="204"/>
      </w:r>
      <w:r w:rsidR="003045A3" w:rsidRPr="00DE3DAA">
        <w:rPr>
          <w:rFonts w:ascii="Times New Roman" w:hAnsi="Times New Roman" w:cs="Times New Roman"/>
          <w:sz w:val="26"/>
          <w:szCs w:val="26"/>
        </w:rPr>
        <w:t xml:space="preserve"> </w:t>
      </w:r>
      <w:r w:rsidR="006F4DA5" w:rsidRPr="00DE3DAA">
        <w:rPr>
          <w:rFonts w:ascii="Times New Roman" w:hAnsi="Times New Roman" w:cs="Times New Roman"/>
          <w:sz w:val="26"/>
          <w:szCs w:val="26"/>
        </w:rPr>
        <w:t>Moreover,</w:t>
      </w:r>
      <w:r w:rsidR="00E373C5" w:rsidRPr="00DE3DAA">
        <w:rPr>
          <w:rFonts w:ascii="Times New Roman" w:hAnsi="Times New Roman" w:cs="Times New Roman"/>
          <w:sz w:val="26"/>
          <w:szCs w:val="26"/>
        </w:rPr>
        <w:t xml:space="preserve"> the notion of a chain</w:t>
      </w:r>
      <w:r w:rsidR="00C675A3" w:rsidRPr="00DE3DAA">
        <w:rPr>
          <w:rFonts w:ascii="Times New Roman" w:hAnsi="Times New Roman" w:cs="Times New Roman"/>
          <w:sz w:val="26"/>
          <w:szCs w:val="26"/>
        </w:rPr>
        <w:t xml:space="preserve"> of political or social contracts</w:t>
      </w:r>
      <w:r w:rsidR="00E373C5" w:rsidRPr="00DE3DAA">
        <w:rPr>
          <w:rFonts w:ascii="Times New Roman" w:hAnsi="Times New Roman" w:cs="Times New Roman"/>
          <w:sz w:val="26"/>
          <w:szCs w:val="26"/>
        </w:rPr>
        <w:t xml:space="preserve"> was recognizable in the policy discourse of that time and that </w:t>
      </w:r>
      <w:r w:rsidR="002B1F7A" w:rsidRPr="00DE3DAA">
        <w:rPr>
          <w:rFonts w:ascii="Times New Roman" w:hAnsi="Times New Roman" w:cs="Times New Roman"/>
          <w:sz w:val="26"/>
          <w:szCs w:val="26"/>
        </w:rPr>
        <w:t xml:space="preserve">notion </w:t>
      </w:r>
      <w:r w:rsidR="00E373C5" w:rsidRPr="00DE3DAA">
        <w:rPr>
          <w:rFonts w:ascii="Times New Roman" w:hAnsi="Times New Roman" w:cs="Times New Roman"/>
          <w:sz w:val="26"/>
          <w:szCs w:val="26"/>
        </w:rPr>
        <w:t xml:space="preserve">would </w:t>
      </w:r>
      <w:r w:rsidR="00C675A3" w:rsidRPr="00DE3DAA">
        <w:rPr>
          <w:rFonts w:ascii="Times New Roman" w:hAnsi="Times New Roman" w:cs="Times New Roman"/>
          <w:sz w:val="26"/>
          <w:szCs w:val="26"/>
        </w:rPr>
        <w:t xml:space="preserve">secure the necessary set of commitments to this </w:t>
      </w:r>
      <w:proofErr w:type="spellStart"/>
      <w:r w:rsidR="00C675A3" w:rsidRPr="00DE3DAA">
        <w:rPr>
          <w:rFonts w:ascii="Times New Roman" w:hAnsi="Times New Roman" w:cs="Times New Roman"/>
          <w:sz w:val="26"/>
          <w:szCs w:val="26"/>
        </w:rPr>
        <w:t>programme</w:t>
      </w:r>
      <w:proofErr w:type="spellEnd"/>
      <w:r w:rsidR="00C675A3" w:rsidRPr="00DE3DAA">
        <w:rPr>
          <w:rFonts w:ascii="Times New Roman" w:hAnsi="Times New Roman" w:cs="Times New Roman"/>
          <w:sz w:val="26"/>
          <w:szCs w:val="26"/>
        </w:rPr>
        <w:t xml:space="preserve">, culminating in an overtly contractual and </w:t>
      </w:r>
      <w:r w:rsidR="00E373C5" w:rsidRPr="00DE3DAA">
        <w:rPr>
          <w:rFonts w:ascii="Times New Roman" w:hAnsi="Times New Roman" w:cs="Times New Roman"/>
          <w:sz w:val="26"/>
          <w:szCs w:val="26"/>
        </w:rPr>
        <w:t>consumerist vision of the relations between citizens, government, and the agencies of public service provision.</w:t>
      </w:r>
      <w:r w:rsidR="00396FEB" w:rsidRPr="00DE3DAA">
        <w:rPr>
          <w:rStyle w:val="ae"/>
          <w:rFonts w:ascii="Times New Roman" w:hAnsi="Times New Roman" w:cs="Times New Roman"/>
          <w:sz w:val="26"/>
          <w:szCs w:val="26"/>
        </w:rPr>
        <w:footnoteReference w:id="205"/>
      </w:r>
      <w:r w:rsidR="002B1F7A" w:rsidRPr="00DE3DAA">
        <w:rPr>
          <w:rFonts w:ascii="Times New Roman" w:hAnsi="Times New Roman" w:cs="Times New Roman"/>
          <w:sz w:val="26"/>
          <w:szCs w:val="26"/>
        </w:rPr>
        <w:t xml:space="preserve"> This notion </w:t>
      </w:r>
      <w:r w:rsidR="00F25E7C" w:rsidRPr="00DE3DAA">
        <w:rPr>
          <w:rFonts w:ascii="Times New Roman" w:hAnsi="Times New Roman" w:cs="Times New Roman"/>
          <w:sz w:val="26"/>
          <w:szCs w:val="26"/>
        </w:rPr>
        <w:t xml:space="preserve">is clearly visible in the new design for social security provision which was generated by the </w:t>
      </w:r>
      <w:r w:rsidR="00C675A3" w:rsidRPr="00DE3DAA">
        <w:rPr>
          <w:rFonts w:ascii="Times New Roman" w:hAnsi="Times New Roman" w:cs="Times New Roman"/>
          <w:sz w:val="26"/>
          <w:szCs w:val="26"/>
        </w:rPr>
        <w:t>Comprehensive Spending Review, and which was proposed by the Green Paper of March 1998</w:t>
      </w:r>
      <w:r w:rsidR="00C675A3" w:rsidRPr="00DE3DAA">
        <w:rPr>
          <w:rFonts w:ascii="Times New Roman" w:hAnsi="Times New Roman" w:cs="Times New Roman"/>
          <w:i/>
          <w:sz w:val="26"/>
          <w:szCs w:val="26"/>
        </w:rPr>
        <w:t>, A new Ambition for Our Country-A New Contract for Welfare</w:t>
      </w:r>
      <w:r w:rsidR="00C675A3" w:rsidRPr="00DE3DAA">
        <w:rPr>
          <w:rFonts w:ascii="Times New Roman" w:hAnsi="Times New Roman" w:cs="Times New Roman"/>
          <w:sz w:val="26"/>
          <w:szCs w:val="26"/>
        </w:rPr>
        <w:t>.</w:t>
      </w:r>
      <w:r w:rsidR="00396FEB" w:rsidRPr="00DE3DAA">
        <w:rPr>
          <w:rStyle w:val="ae"/>
          <w:rFonts w:ascii="Times New Roman" w:hAnsi="Times New Roman" w:cs="Times New Roman"/>
          <w:sz w:val="26"/>
          <w:szCs w:val="26"/>
        </w:rPr>
        <w:footnoteReference w:id="206"/>
      </w:r>
      <w:r w:rsidR="003E01B8" w:rsidRPr="00DE3DAA">
        <w:rPr>
          <w:rFonts w:ascii="Times New Roman" w:hAnsi="Times New Roman" w:cs="Times New Roman"/>
          <w:sz w:val="26"/>
          <w:szCs w:val="26"/>
        </w:rPr>
        <w:t xml:space="preserve"> It should be stressed that, by contrast with the approach to economic re-structuring taken </w:t>
      </w:r>
      <w:r w:rsidR="002B060A" w:rsidRPr="00DE3DAA">
        <w:rPr>
          <w:rFonts w:ascii="Times New Roman" w:hAnsi="Times New Roman" w:cs="Times New Roman"/>
          <w:sz w:val="26"/>
          <w:szCs w:val="26"/>
        </w:rPr>
        <w:t xml:space="preserve">place </w:t>
      </w:r>
      <w:r w:rsidR="003E01B8" w:rsidRPr="00DE3DAA">
        <w:rPr>
          <w:rFonts w:ascii="Times New Roman" w:hAnsi="Times New Roman" w:cs="Times New Roman"/>
          <w:sz w:val="26"/>
          <w:szCs w:val="26"/>
        </w:rPr>
        <w:t>in the later 1980s, this policy framework was a design for increasing social investment in public services and the relief of poverty rather than reducing it</w:t>
      </w:r>
      <w:r w:rsidR="00367A99" w:rsidRPr="00DE3DAA">
        <w:rPr>
          <w:rFonts w:ascii="Times New Roman" w:hAnsi="Times New Roman" w:cs="Times New Roman"/>
          <w:sz w:val="26"/>
          <w:szCs w:val="26"/>
        </w:rPr>
        <w:t>, however t</w:t>
      </w:r>
      <w:r w:rsidR="004D77AD" w:rsidRPr="00DE3DAA">
        <w:rPr>
          <w:rFonts w:ascii="Times New Roman" w:hAnsi="Times New Roman" w:cs="Times New Roman"/>
          <w:sz w:val="26"/>
          <w:szCs w:val="26"/>
        </w:rPr>
        <w:t xml:space="preserve">he political contract which both approaches had more or less in common </w:t>
      </w:r>
      <w:r w:rsidR="00367A99" w:rsidRPr="00DE3DAA">
        <w:rPr>
          <w:rFonts w:ascii="Times New Roman" w:hAnsi="Times New Roman" w:cs="Times New Roman"/>
          <w:sz w:val="26"/>
          <w:szCs w:val="26"/>
        </w:rPr>
        <w:t xml:space="preserve">was clearly articulated </w:t>
      </w:r>
      <w:r w:rsidR="004D77AD" w:rsidRPr="00DE3DAA">
        <w:rPr>
          <w:rFonts w:ascii="Times New Roman" w:hAnsi="Times New Roman" w:cs="Times New Roman"/>
          <w:sz w:val="26"/>
          <w:szCs w:val="26"/>
        </w:rPr>
        <w:t>by the Prime Minister in his Foreword to the Comprehensive Spending Review Whi</w:t>
      </w:r>
      <w:r w:rsidR="00367A99" w:rsidRPr="00DE3DAA">
        <w:rPr>
          <w:rFonts w:ascii="Times New Roman" w:hAnsi="Times New Roman" w:cs="Times New Roman"/>
          <w:sz w:val="26"/>
          <w:szCs w:val="26"/>
        </w:rPr>
        <w:t>t</w:t>
      </w:r>
      <w:r w:rsidR="004D77AD" w:rsidRPr="00DE3DAA">
        <w:rPr>
          <w:rFonts w:ascii="Times New Roman" w:hAnsi="Times New Roman" w:cs="Times New Roman"/>
          <w:sz w:val="26"/>
          <w:szCs w:val="26"/>
        </w:rPr>
        <w:t xml:space="preserve">e Paper of July 1998 when, speaking of the government’s intentions to increase </w:t>
      </w:r>
      <w:r w:rsidR="004D77AD" w:rsidRPr="00DE3DAA">
        <w:rPr>
          <w:rFonts w:ascii="Times New Roman" w:hAnsi="Times New Roman" w:cs="Times New Roman"/>
          <w:sz w:val="26"/>
          <w:szCs w:val="26"/>
        </w:rPr>
        <w:lastRenderedPageBreak/>
        <w:t>expenditure on key public services</w:t>
      </w:r>
      <w:r w:rsidR="00367A99" w:rsidRPr="00DE3DAA">
        <w:rPr>
          <w:rFonts w:ascii="Times New Roman" w:hAnsi="Times New Roman" w:cs="Times New Roman"/>
          <w:sz w:val="26"/>
          <w:szCs w:val="26"/>
        </w:rPr>
        <w:t>.</w:t>
      </w:r>
      <w:r w:rsidR="00396FEB" w:rsidRPr="00DE3DAA">
        <w:rPr>
          <w:rStyle w:val="ae"/>
          <w:rFonts w:ascii="Times New Roman" w:hAnsi="Times New Roman" w:cs="Times New Roman"/>
          <w:sz w:val="26"/>
          <w:szCs w:val="26"/>
        </w:rPr>
        <w:footnoteReference w:id="207"/>
      </w:r>
      <w:r w:rsidR="00367A99" w:rsidRPr="00DE3DAA">
        <w:rPr>
          <w:rFonts w:ascii="Times New Roman" w:hAnsi="Times New Roman" w:cs="Times New Roman"/>
          <w:sz w:val="26"/>
          <w:szCs w:val="26"/>
        </w:rPr>
        <w:t xml:space="preserve"> In th</w:t>
      </w:r>
      <w:r w:rsidR="00CD10A1" w:rsidRPr="00DE3DAA">
        <w:rPr>
          <w:rFonts w:ascii="Times New Roman" w:hAnsi="Times New Roman" w:cs="Times New Roman"/>
          <w:sz w:val="26"/>
          <w:szCs w:val="26"/>
        </w:rPr>
        <w:t>at</w:t>
      </w:r>
      <w:r w:rsidR="00367A99" w:rsidRPr="00DE3DAA">
        <w:rPr>
          <w:rFonts w:ascii="Times New Roman" w:hAnsi="Times New Roman" w:cs="Times New Roman"/>
          <w:sz w:val="26"/>
          <w:szCs w:val="26"/>
        </w:rPr>
        <w:t xml:space="preserve"> White Paper,</w:t>
      </w:r>
      <w:r w:rsidR="004D77AD" w:rsidRPr="00DE3DAA">
        <w:rPr>
          <w:rFonts w:ascii="Times New Roman" w:hAnsi="Times New Roman" w:cs="Times New Roman"/>
          <w:sz w:val="26"/>
          <w:szCs w:val="26"/>
        </w:rPr>
        <w:t xml:space="preserve"> he declared</w:t>
      </w:r>
      <w:r w:rsidR="00372670" w:rsidRPr="00DE3DAA">
        <w:rPr>
          <w:rFonts w:ascii="Times New Roman" w:hAnsi="Times New Roman" w:cs="Times New Roman"/>
          <w:sz w:val="26"/>
          <w:szCs w:val="26"/>
        </w:rPr>
        <w:t xml:space="preserve"> the main principle of the contract like </w:t>
      </w:r>
      <w:proofErr w:type="spellStart"/>
      <w:r w:rsidR="00372670" w:rsidRPr="00DE3DAA">
        <w:rPr>
          <w:rFonts w:ascii="Times New Roman" w:hAnsi="Times New Roman" w:cs="Times New Roman"/>
          <w:sz w:val="26"/>
          <w:szCs w:val="26"/>
        </w:rPr>
        <w:t>belows</w:t>
      </w:r>
      <w:proofErr w:type="spellEnd"/>
      <w:r w:rsidR="00372670" w:rsidRPr="00DE3DAA">
        <w:rPr>
          <w:rFonts w:ascii="Times New Roman" w:hAnsi="Times New Roman" w:cs="Times New Roman"/>
          <w:sz w:val="26"/>
          <w:szCs w:val="26"/>
        </w:rPr>
        <w:t>;</w:t>
      </w:r>
    </w:p>
    <w:p w14:paraId="14209674" w14:textId="77777777" w:rsidR="0010663A" w:rsidRPr="00DE3DAA" w:rsidRDefault="0010663A" w:rsidP="00F04349">
      <w:pPr>
        <w:pStyle w:val="a3"/>
        <w:ind w:leftChars="0" w:left="1520"/>
        <w:rPr>
          <w:rFonts w:ascii="Times New Roman" w:hAnsi="Times New Roman" w:cs="Times New Roman"/>
          <w:sz w:val="26"/>
          <w:szCs w:val="26"/>
        </w:rPr>
      </w:pPr>
    </w:p>
    <w:p w14:paraId="232839B0" w14:textId="5E3C7BD8" w:rsidR="00A14EAD" w:rsidRPr="00DE3DAA" w:rsidRDefault="0010663A" w:rsidP="0010663A">
      <w:pPr>
        <w:pStyle w:val="a3"/>
        <w:ind w:leftChars="860" w:left="1720"/>
        <w:rPr>
          <w:rFonts w:ascii="Times New Roman" w:hAnsi="Times New Roman" w:cs="Times New Roman"/>
          <w:sz w:val="26"/>
          <w:szCs w:val="26"/>
        </w:rPr>
      </w:pPr>
      <w:r w:rsidRPr="00DE3DAA">
        <w:rPr>
          <w:rFonts w:ascii="Times New Roman" w:hAnsi="Times New Roman" w:cs="Times New Roman"/>
          <w:sz w:val="26"/>
          <w:szCs w:val="26"/>
        </w:rPr>
        <w:t xml:space="preserve">… because money for education and health has been so hard won, there is an obligation on those spending that money to do so wisely in pursuit of agreed and ambitious targets. That is why we insist on a new principle for funding public services: ‘money for </w:t>
      </w:r>
      <w:proofErr w:type="spellStart"/>
      <w:r w:rsidRPr="00DE3DAA">
        <w:rPr>
          <w:rFonts w:ascii="Times New Roman" w:hAnsi="Times New Roman" w:cs="Times New Roman"/>
          <w:sz w:val="26"/>
          <w:szCs w:val="26"/>
        </w:rPr>
        <w:t>modernisation</w:t>
      </w:r>
      <w:proofErr w:type="spellEnd"/>
      <w:r w:rsidRPr="00DE3DAA">
        <w:rPr>
          <w:rFonts w:ascii="Times New Roman" w:hAnsi="Times New Roman" w:cs="Times New Roman"/>
          <w:sz w:val="26"/>
          <w:szCs w:val="26"/>
        </w:rPr>
        <w:t xml:space="preserve">’. ‘Money for </w:t>
      </w:r>
      <w:proofErr w:type="spellStart"/>
      <w:r w:rsidRPr="00DE3DAA">
        <w:rPr>
          <w:rFonts w:ascii="Times New Roman" w:hAnsi="Times New Roman" w:cs="Times New Roman"/>
          <w:sz w:val="26"/>
          <w:szCs w:val="26"/>
        </w:rPr>
        <w:t>modernisation</w:t>
      </w:r>
      <w:proofErr w:type="spellEnd"/>
      <w:r w:rsidRPr="00DE3DAA">
        <w:rPr>
          <w:rFonts w:ascii="Times New Roman" w:hAnsi="Times New Roman" w:cs="Times New Roman"/>
          <w:sz w:val="26"/>
          <w:szCs w:val="26"/>
        </w:rPr>
        <w:t xml:space="preserve">’ is a contract. It says we will invest more </w:t>
      </w:r>
      <w:proofErr w:type="gramStart"/>
      <w:r w:rsidRPr="00DE3DAA">
        <w:rPr>
          <w:rFonts w:ascii="Times New Roman" w:hAnsi="Times New Roman" w:cs="Times New Roman"/>
          <w:sz w:val="26"/>
          <w:szCs w:val="26"/>
        </w:rPr>
        <w:t>money</w:t>
      </w:r>
      <w:proofErr w:type="gramEnd"/>
      <w:r w:rsidRPr="00DE3DAA">
        <w:rPr>
          <w:rFonts w:ascii="Times New Roman" w:hAnsi="Times New Roman" w:cs="Times New Roman"/>
          <w:sz w:val="26"/>
          <w:szCs w:val="26"/>
        </w:rPr>
        <w:t xml:space="preserve"> but that money comes with strings attached. In return for investment there must be reform.</w:t>
      </w:r>
      <w:r w:rsidR="00396FEB" w:rsidRPr="00DE3DAA">
        <w:rPr>
          <w:rStyle w:val="ae"/>
          <w:rFonts w:ascii="Times New Roman" w:hAnsi="Times New Roman" w:cs="Times New Roman"/>
          <w:sz w:val="26"/>
          <w:szCs w:val="26"/>
        </w:rPr>
        <w:footnoteReference w:id="208"/>
      </w:r>
    </w:p>
    <w:p w14:paraId="46DD97D2" w14:textId="3E1638BE" w:rsidR="004D77AD" w:rsidRPr="00DE3DAA" w:rsidRDefault="004D77AD" w:rsidP="00F04349">
      <w:pPr>
        <w:pStyle w:val="a3"/>
        <w:ind w:leftChars="0" w:left="1520"/>
        <w:rPr>
          <w:rFonts w:ascii="Times New Roman" w:hAnsi="Times New Roman" w:cs="Times New Roman"/>
          <w:sz w:val="26"/>
          <w:szCs w:val="26"/>
        </w:rPr>
      </w:pPr>
    </w:p>
    <w:p w14:paraId="758BA89D" w14:textId="7DF35C03" w:rsidR="004D77AD" w:rsidRPr="00DE3DAA" w:rsidRDefault="00905E0E" w:rsidP="00F04349">
      <w:pPr>
        <w:pStyle w:val="a3"/>
        <w:ind w:leftChars="0" w:left="1520"/>
        <w:rPr>
          <w:rFonts w:ascii="Times New Roman" w:hAnsi="Times New Roman" w:cs="Times New Roman"/>
          <w:sz w:val="26"/>
          <w:szCs w:val="26"/>
        </w:rPr>
      </w:pPr>
      <w:r w:rsidRPr="00DE3DAA">
        <w:rPr>
          <w:rFonts w:ascii="Times New Roman" w:hAnsi="Times New Roman" w:cs="Times New Roman"/>
          <w:sz w:val="26"/>
          <w:szCs w:val="26"/>
        </w:rPr>
        <w:t>It is observed that the</w:t>
      </w:r>
      <w:r w:rsidR="00AB568A" w:rsidRPr="00DE3DAA">
        <w:rPr>
          <w:rFonts w:ascii="Times New Roman" w:hAnsi="Times New Roman" w:cs="Times New Roman"/>
          <w:sz w:val="26"/>
          <w:szCs w:val="26"/>
        </w:rPr>
        <w:t xml:space="preserve"> New </w:t>
      </w:r>
      <w:proofErr w:type="spellStart"/>
      <w:r w:rsidR="00AB568A" w:rsidRPr="00DE3DAA">
        <w:rPr>
          <w:rFonts w:ascii="Times New Roman" w:hAnsi="Times New Roman" w:cs="Times New Roman"/>
          <w:sz w:val="26"/>
          <w:szCs w:val="26"/>
        </w:rPr>
        <w:t>Labour</w:t>
      </w:r>
      <w:proofErr w:type="spellEnd"/>
      <w:r w:rsidR="00AB568A" w:rsidRPr="00DE3DAA">
        <w:rPr>
          <w:rFonts w:ascii="Times New Roman" w:hAnsi="Times New Roman" w:cs="Times New Roman"/>
          <w:sz w:val="26"/>
          <w:szCs w:val="26"/>
        </w:rPr>
        <w:t xml:space="preserve"> administration </w:t>
      </w:r>
      <w:r w:rsidRPr="00DE3DAA">
        <w:rPr>
          <w:rFonts w:ascii="Times New Roman" w:hAnsi="Times New Roman" w:cs="Times New Roman"/>
          <w:sz w:val="26"/>
          <w:szCs w:val="26"/>
        </w:rPr>
        <w:t xml:space="preserve">created a particular meaningful policy framework in terms of </w:t>
      </w:r>
      <w:proofErr w:type="spellStart"/>
      <w:r w:rsidRPr="00DE3DAA">
        <w:rPr>
          <w:rFonts w:ascii="Times New Roman" w:hAnsi="Times New Roman" w:cs="Times New Roman"/>
          <w:sz w:val="26"/>
          <w:szCs w:val="26"/>
        </w:rPr>
        <w:t>labour</w:t>
      </w:r>
      <w:proofErr w:type="spellEnd"/>
      <w:r w:rsidRPr="00DE3DAA">
        <w:rPr>
          <w:rFonts w:ascii="Times New Roman" w:hAnsi="Times New Roman" w:cs="Times New Roman"/>
          <w:sz w:val="26"/>
          <w:szCs w:val="26"/>
        </w:rPr>
        <w:t xml:space="preserve"> market regulation.</w:t>
      </w:r>
      <w:r w:rsidR="00396FEB" w:rsidRPr="00DE3DAA">
        <w:rPr>
          <w:rStyle w:val="ae"/>
          <w:rFonts w:ascii="Times New Roman" w:hAnsi="Times New Roman" w:cs="Times New Roman"/>
          <w:sz w:val="26"/>
          <w:szCs w:val="26"/>
        </w:rPr>
        <w:footnoteReference w:id="209"/>
      </w:r>
      <w:r w:rsidRPr="00DE3DAA">
        <w:rPr>
          <w:rFonts w:ascii="Times New Roman" w:hAnsi="Times New Roman" w:cs="Times New Roman"/>
          <w:sz w:val="26"/>
          <w:szCs w:val="26"/>
        </w:rPr>
        <w:t xml:space="preserve"> As illustrated above, the main task of the New </w:t>
      </w:r>
      <w:proofErr w:type="spellStart"/>
      <w:r w:rsidRPr="00DE3DAA">
        <w:rPr>
          <w:rFonts w:ascii="Times New Roman" w:hAnsi="Times New Roman" w:cs="Times New Roman"/>
          <w:sz w:val="26"/>
          <w:szCs w:val="26"/>
        </w:rPr>
        <w:t>Labour</w:t>
      </w:r>
      <w:proofErr w:type="spellEnd"/>
      <w:r w:rsidRPr="00DE3DAA">
        <w:rPr>
          <w:rFonts w:ascii="Times New Roman" w:hAnsi="Times New Roman" w:cs="Times New Roman"/>
          <w:sz w:val="26"/>
          <w:szCs w:val="26"/>
        </w:rPr>
        <w:t xml:space="preserve"> administration in the employment sphere was to ensure and maintain the existence of a flexible and adaptable </w:t>
      </w:r>
      <w:proofErr w:type="spellStart"/>
      <w:r w:rsidRPr="00DE3DAA">
        <w:rPr>
          <w:rFonts w:ascii="Times New Roman" w:hAnsi="Times New Roman" w:cs="Times New Roman"/>
          <w:sz w:val="26"/>
          <w:szCs w:val="26"/>
        </w:rPr>
        <w:t>labour</w:t>
      </w:r>
      <w:proofErr w:type="spellEnd"/>
      <w:r w:rsidRPr="00DE3DAA">
        <w:rPr>
          <w:rFonts w:ascii="Times New Roman" w:hAnsi="Times New Roman" w:cs="Times New Roman"/>
          <w:sz w:val="26"/>
          <w:szCs w:val="26"/>
        </w:rPr>
        <w:t xml:space="preserve"> market</w:t>
      </w:r>
      <w:r w:rsidR="00A25485" w:rsidRPr="00DE3DAA">
        <w:rPr>
          <w:rFonts w:ascii="Times New Roman" w:hAnsi="Times New Roman" w:cs="Times New Roman"/>
          <w:sz w:val="26"/>
          <w:szCs w:val="26"/>
        </w:rPr>
        <w:t xml:space="preserve"> and showed a vision about how that could best be achieved which was not very dissimilar from that of those immediate predecessors, but was perhaps a somewhat more sophisticated one.</w:t>
      </w:r>
      <w:r w:rsidR="00396FEB" w:rsidRPr="00DE3DAA">
        <w:rPr>
          <w:rStyle w:val="ae"/>
          <w:rFonts w:ascii="Times New Roman" w:hAnsi="Times New Roman" w:cs="Times New Roman"/>
          <w:sz w:val="26"/>
          <w:szCs w:val="26"/>
        </w:rPr>
        <w:footnoteReference w:id="210"/>
      </w:r>
      <w:r w:rsidR="005F69AC" w:rsidRPr="00DE3DAA">
        <w:rPr>
          <w:rFonts w:ascii="Times New Roman" w:hAnsi="Times New Roman" w:cs="Times New Roman"/>
          <w:sz w:val="26"/>
          <w:szCs w:val="26"/>
        </w:rPr>
        <w:t xml:space="preserve"> This was based on the recognition that ‘the </w:t>
      </w:r>
      <w:proofErr w:type="spellStart"/>
      <w:r w:rsidR="005F69AC" w:rsidRPr="00DE3DAA">
        <w:rPr>
          <w:rFonts w:ascii="Times New Roman" w:hAnsi="Times New Roman" w:cs="Times New Roman"/>
          <w:sz w:val="26"/>
          <w:szCs w:val="26"/>
        </w:rPr>
        <w:t>labour</w:t>
      </w:r>
      <w:proofErr w:type="spellEnd"/>
      <w:r w:rsidR="005F69AC" w:rsidRPr="00DE3DAA">
        <w:rPr>
          <w:rFonts w:ascii="Times New Roman" w:hAnsi="Times New Roman" w:cs="Times New Roman"/>
          <w:sz w:val="26"/>
          <w:szCs w:val="26"/>
        </w:rPr>
        <w:t xml:space="preserve"> market’ was an entity or a conception which was </w:t>
      </w:r>
      <w:r w:rsidR="00E76FF9" w:rsidRPr="00DE3DAA">
        <w:rPr>
          <w:rFonts w:ascii="Times New Roman" w:hAnsi="Times New Roman" w:cs="Times New Roman"/>
          <w:sz w:val="26"/>
          <w:szCs w:val="26"/>
        </w:rPr>
        <w:t>not only</w:t>
      </w:r>
      <w:r w:rsidR="005F69AC" w:rsidRPr="00DE3DAA">
        <w:rPr>
          <w:rFonts w:ascii="Times New Roman" w:hAnsi="Times New Roman" w:cs="Times New Roman"/>
          <w:sz w:val="26"/>
          <w:szCs w:val="26"/>
        </w:rPr>
        <w:t xml:space="preserve"> complex </w:t>
      </w:r>
      <w:r w:rsidR="00E76FF9" w:rsidRPr="00DE3DAA">
        <w:rPr>
          <w:rFonts w:ascii="Times New Roman" w:hAnsi="Times New Roman" w:cs="Times New Roman"/>
          <w:sz w:val="26"/>
          <w:szCs w:val="26"/>
        </w:rPr>
        <w:t>but also</w:t>
      </w:r>
      <w:r w:rsidR="005F69AC" w:rsidRPr="00DE3DAA">
        <w:rPr>
          <w:rFonts w:ascii="Times New Roman" w:hAnsi="Times New Roman" w:cs="Times New Roman"/>
          <w:sz w:val="26"/>
          <w:szCs w:val="26"/>
        </w:rPr>
        <w:t xml:space="preserve"> undergoing various mutations, largely associated with the transitions from a predominantly manufacturing economy to an economy predominantly producing services, and from an economy in which the public and private sectors were quite strongly separated to one in which they were elaborately inter-twined.</w:t>
      </w:r>
      <w:r w:rsidR="00396FEB" w:rsidRPr="00DE3DAA">
        <w:rPr>
          <w:rStyle w:val="ae"/>
          <w:rFonts w:ascii="Times New Roman" w:hAnsi="Times New Roman" w:cs="Times New Roman"/>
          <w:sz w:val="26"/>
          <w:szCs w:val="26"/>
        </w:rPr>
        <w:footnoteReference w:id="211"/>
      </w:r>
      <w:r w:rsidR="008936D7" w:rsidRPr="00DE3DAA">
        <w:rPr>
          <w:rFonts w:ascii="Times New Roman" w:hAnsi="Times New Roman" w:cs="Times New Roman"/>
          <w:sz w:val="26"/>
          <w:szCs w:val="26"/>
        </w:rPr>
        <w:t xml:space="preserve"> That is, the New </w:t>
      </w:r>
      <w:proofErr w:type="spellStart"/>
      <w:r w:rsidR="008936D7" w:rsidRPr="00DE3DAA">
        <w:rPr>
          <w:rFonts w:ascii="Times New Roman" w:hAnsi="Times New Roman" w:cs="Times New Roman"/>
          <w:sz w:val="26"/>
          <w:szCs w:val="26"/>
        </w:rPr>
        <w:t>Labour</w:t>
      </w:r>
      <w:proofErr w:type="spellEnd"/>
      <w:r w:rsidR="008936D7" w:rsidRPr="00DE3DAA">
        <w:rPr>
          <w:rFonts w:ascii="Times New Roman" w:hAnsi="Times New Roman" w:cs="Times New Roman"/>
          <w:sz w:val="26"/>
          <w:szCs w:val="26"/>
        </w:rPr>
        <w:t xml:space="preserve"> administration seems especially to have realized that new divisions or aspects </w:t>
      </w:r>
      <w:r w:rsidR="008936D7" w:rsidRPr="00DE3DAA">
        <w:rPr>
          <w:rFonts w:ascii="Times New Roman" w:hAnsi="Times New Roman" w:cs="Times New Roman"/>
          <w:sz w:val="26"/>
          <w:szCs w:val="26"/>
        </w:rPr>
        <w:lastRenderedPageBreak/>
        <w:t xml:space="preserve">or formations of the </w:t>
      </w:r>
      <w:proofErr w:type="spellStart"/>
      <w:r w:rsidR="008936D7" w:rsidRPr="00DE3DAA">
        <w:rPr>
          <w:rFonts w:ascii="Times New Roman" w:hAnsi="Times New Roman" w:cs="Times New Roman"/>
          <w:sz w:val="26"/>
          <w:szCs w:val="26"/>
        </w:rPr>
        <w:t>labour</w:t>
      </w:r>
      <w:proofErr w:type="spellEnd"/>
      <w:r w:rsidR="008936D7" w:rsidRPr="00DE3DAA">
        <w:rPr>
          <w:rFonts w:ascii="Times New Roman" w:hAnsi="Times New Roman" w:cs="Times New Roman"/>
          <w:sz w:val="26"/>
          <w:szCs w:val="26"/>
        </w:rPr>
        <w:t xml:space="preserve"> market</w:t>
      </w:r>
      <w:r w:rsidR="00A904E9" w:rsidRPr="00DE3DAA">
        <w:rPr>
          <w:rFonts w:ascii="Times New Roman" w:hAnsi="Times New Roman" w:cs="Times New Roman"/>
          <w:sz w:val="26"/>
          <w:szCs w:val="26"/>
        </w:rPr>
        <w:t xml:space="preserve"> for the securing of a flexible and adaptable </w:t>
      </w:r>
      <w:proofErr w:type="spellStart"/>
      <w:r w:rsidR="00A904E9" w:rsidRPr="00DE3DAA">
        <w:rPr>
          <w:rFonts w:ascii="Times New Roman" w:hAnsi="Times New Roman" w:cs="Times New Roman"/>
          <w:sz w:val="26"/>
          <w:szCs w:val="26"/>
        </w:rPr>
        <w:t>labour</w:t>
      </w:r>
      <w:proofErr w:type="spellEnd"/>
      <w:r w:rsidR="00A904E9" w:rsidRPr="00DE3DAA">
        <w:rPr>
          <w:rFonts w:ascii="Times New Roman" w:hAnsi="Times New Roman" w:cs="Times New Roman"/>
          <w:sz w:val="26"/>
          <w:szCs w:val="26"/>
        </w:rPr>
        <w:t xml:space="preserve"> market </w:t>
      </w:r>
      <w:r w:rsidR="008936D7" w:rsidRPr="00DE3DAA">
        <w:rPr>
          <w:rFonts w:ascii="Times New Roman" w:hAnsi="Times New Roman" w:cs="Times New Roman"/>
          <w:sz w:val="26"/>
          <w:szCs w:val="26"/>
        </w:rPr>
        <w:t>required regulatory reinforcement at rather different points and in rather different ways from those of earlier regulatory practice in the employment sphere</w:t>
      </w:r>
      <w:r w:rsidR="00A904E9" w:rsidRPr="00DE3DAA">
        <w:rPr>
          <w:rFonts w:ascii="Times New Roman" w:hAnsi="Times New Roman" w:cs="Times New Roman"/>
          <w:sz w:val="26"/>
          <w:szCs w:val="26"/>
        </w:rPr>
        <w:t>.</w:t>
      </w:r>
      <w:r w:rsidR="00396FEB" w:rsidRPr="00DE3DAA">
        <w:rPr>
          <w:rStyle w:val="ae"/>
          <w:rFonts w:ascii="Times New Roman" w:hAnsi="Times New Roman" w:cs="Times New Roman"/>
          <w:sz w:val="26"/>
          <w:szCs w:val="26"/>
        </w:rPr>
        <w:footnoteReference w:id="212"/>
      </w:r>
      <w:r w:rsidR="00A904E9" w:rsidRPr="00DE3DAA">
        <w:rPr>
          <w:rFonts w:ascii="Times New Roman" w:hAnsi="Times New Roman" w:cs="Times New Roman"/>
          <w:sz w:val="26"/>
          <w:szCs w:val="26"/>
        </w:rPr>
        <w:t xml:space="preserve"> In earlier phases it had been appropriate to regard employing enterprises as creating or operating within two quite sharply differentiated kinds of </w:t>
      </w:r>
      <w:proofErr w:type="spellStart"/>
      <w:r w:rsidR="00A904E9" w:rsidRPr="00DE3DAA">
        <w:rPr>
          <w:rFonts w:ascii="Times New Roman" w:hAnsi="Times New Roman" w:cs="Times New Roman"/>
          <w:sz w:val="26"/>
          <w:szCs w:val="26"/>
        </w:rPr>
        <w:t>labour</w:t>
      </w:r>
      <w:proofErr w:type="spellEnd"/>
      <w:r w:rsidR="00A904E9" w:rsidRPr="00DE3DAA">
        <w:rPr>
          <w:rFonts w:ascii="Times New Roman" w:hAnsi="Times New Roman" w:cs="Times New Roman"/>
          <w:sz w:val="26"/>
          <w:szCs w:val="26"/>
        </w:rPr>
        <w:t xml:space="preserve"> market, one being internal and the other external. An employing enterprise would operate an ‘internal </w:t>
      </w:r>
      <w:proofErr w:type="spellStart"/>
      <w:r w:rsidR="00A904E9" w:rsidRPr="00DE3DAA">
        <w:rPr>
          <w:rFonts w:ascii="Times New Roman" w:hAnsi="Times New Roman" w:cs="Times New Roman"/>
          <w:sz w:val="26"/>
          <w:szCs w:val="26"/>
        </w:rPr>
        <w:t>labour</w:t>
      </w:r>
      <w:proofErr w:type="spellEnd"/>
      <w:r w:rsidR="00A904E9" w:rsidRPr="00DE3DAA">
        <w:rPr>
          <w:rFonts w:ascii="Times New Roman" w:hAnsi="Times New Roman" w:cs="Times New Roman"/>
          <w:sz w:val="26"/>
          <w:szCs w:val="26"/>
        </w:rPr>
        <w:t xml:space="preserve"> market’ when it drew primarily on its own workforce to meet demands for enhancement of technical and managerial capacity, and would tend to limit its recourse to the ‘external </w:t>
      </w:r>
      <w:proofErr w:type="spellStart"/>
      <w:r w:rsidR="00A904E9" w:rsidRPr="00DE3DAA">
        <w:rPr>
          <w:rFonts w:ascii="Times New Roman" w:hAnsi="Times New Roman" w:cs="Times New Roman"/>
          <w:sz w:val="26"/>
          <w:szCs w:val="26"/>
        </w:rPr>
        <w:t>labour</w:t>
      </w:r>
      <w:proofErr w:type="spellEnd"/>
      <w:r w:rsidR="00A904E9" w:rsidRPr="00DE3DAA">
        <w:rPr>
          <w:rFonts w:ascii="Times New Roman" w:hAnsi="Times New Roman" w:cs="Times New Roman"/>
          <w:sz w:val="26"/>
          <w:szCs w:val="26"/>
        </w:rPr>
        <w:t xml:space="preserve"> market’ to special situations of occasional demand.</w:t>
      </w:r>
      <w:r w:rsidR="00396FEB" w:rsidRPr="00DE3DAA">
        <w:rPr>
          <w:rStyle w:val="ae"/>
          <w:rFonts w:ascii="Times New Roman" w:hAnsi="Times New Roman" w:cs="Times New Roman"/>
          <w:sz w:val="26"/>
          <w:szCs w:val="26"/>
        </w:rPr>
        <w:footnoteReference w:id="213"/>
      </w:r>
      <w:r w:rsidR="00A904E9" w:rsidRPr="00DE3DAA">
        <w:rPr>
          <w:rFonts w:ascii="Times New Roman" w:hAnsi="Times New Roman" w:cs="Times New Roman"/>
          <w:sz w:val="26"/>
          <w:szCs w:val="26"/>
        </w:rPr>
        <w:t xml:space="preserve"> In the recent and current phase, employing enterprises have mixed and mingled their drawings upon internal and external </w:t>
      </w:r>
      <w:proofErr w:type="spellStart"/>
      <w:r w:rsidR="00A904E9" w:rsidRPr="00DE3DAA">
        <w:rPr>
          <w:rFonts w:ascii="Times New Roman" w:hAnsi="Times New Roman" w:cs="Times New Roman"/>
          <w:sz w:val="26"/>
          <w:szCs w:val="26"/>
        </w:rPr>
        <w:t>labour</w:t>
      </w:r>
      <w:proofErr w:type="spellEnd"/>
      <w:r w:rsidR="00A904E9" w:rsidRPr="00DE3DAA">
        <w:rPr>
          <w:rFonts w:ascii="Times New Roman" w:hAnsi="Times New Roman" w:cs="Times New Roman"/>
          <w:sz w:val="26"/>
          <w:szCs w:val="26"/>
        </w:rPr>
        <w:t xml:space="preserve"> markets to the point where there is no sharp distinction between the two typologies.</w:t>
      </w:r>
      <w:r w:rsidR="00396FEB" w:rsidRPr="00DE3DAA">
        <w:rPr>
          <w:rStyle w:val="ae"/>
          <w:rFonts w:ascii="Times New Roman" w:hAnsi="Times New Roman" w:cs="Times New Roman"/>
          <w:sz w:val="26"/>
          <w:szCs w:val="26"/>
        </w:rPr>
        <w:footnoteReference w:id="214"/>
      </w:r>
      <w:r w:rsidR="00941798" w:rsidRPr="00DE3DAA">
        <w:rPr>
          <w:rFonts w:ascii="Times New Roman" w:hAnsi="Times New Roman" w:cs="Times New Roman"/>
          <w:sz w:val="26"/>
          <w:szCs w:val="26"/>
        </w:rPr>
        <w:t xml:space="preserve"> This </w:t>
      </w:r>
      <w:proofErr w:type="spellStart"/>
      <w:r w:rsidR="00941798" w:rsidRPr="00DE3DAA">
        <w:rPr>
          <w:rFonts w:ascii="Times New Roman" w:hAnsi="Times New Roman" w:cs="Times New Roman"/>
          <w:sz w:val="26"/>
          <w:szCs w:val="26"/>
        </w:rPr>
        <w:t>labour</w:t>
      </w:r>
      <w:proofErr w:type="spellEnd"/>
      <w:r w:rsidR="00941798" w:rsidRPr="00DE3DAA">
        <w:rPr>
          <w:rFonts w:ascii="Times New Roman" w:hAnsi="Times New Roman" w:cs="Times New Roman"/>
          <w:sz w:val="26"/>
          <w:szCs w:val="26"/>
        </w:rPr>
        <w:t xml:space="preserve"> market blurred differentiation consisted in an exponential expansion of various patterns of outsourcing or contracting out of </w:t>
      </w:r>
      <w:proofErr w:type="spellStart"/>
      <w:r w:rsidR="00941798" w:rsidRPr="00DE3DAA">
        <w:rPr>
          <w:rFonts w:ascii="Times New Roman" w:hAnsi="Times New Roman" w:cs="Times New Roman"/>
          <w:sz w:val="26"/>
          <w:szCs w:val="26"/>
        </w:rPr>
        <w:t>labour</w:t>
      </w:r>
      <w:proofErr w:type="spellEnd"/>
      <w:r w:rsidR="00941798" w:rsidRPr="00DE3DAA">
        <w:rPr>
          <w:rFonts w:ascii="Times New Roman" w:hAnsi="Times New Roman" w:cs="Times New Roman"/>
          <w:sz w:val="26"/>
          <w:szCs w:val="26"/>
        </w:rPr>
        <w:t xml:space="preserve"> provision and this increasingly often extended to the core functions and the management of the employing enterprise itself.</w:t>
      </w:r>
      <w:r w:rsidR="00396FEB" w:rsidRPr="00DE3DAA">
        <w:rPr>
          <w:rStyle w:val="ae"/>
          <w:rFonts w:ascii="Times New Roman" w:hAnsi="Times New Roman" w:cs="Times New Roman"/>
          <w:sz w:val="26"/>
          <w:szCs w:val="26"/>
        </w:rPr>
        <w:footnoteReference w:id="215"/>
      </w:r>
      <w:r w:rsidR="00941798" w:rsidRPr="00DE3DAA">
        <w:rPr>
          <w:rFonts w:ascii="Times New Roman" w:hAnsi="Times New Roman" w:cs="Times New Roman"/>
          <w:sz w:val="26"/>
          <w:szCs w:val="26"/>
        </w:rPr>
        <w:t xml:space="preserve">  The New </w:t>
      </w:r>
      <w:proofErr w:type="spellStart"/>
      <w:r w:rsidR="00941798" w:rsidRPr="00DE3DAA">
        <w:rPr>
          <w:rFonts w:ascii="Times New Roman" w:hAnsi="Times New Roman" w:cs="Times New Roman"/>
          <w:sz w:val="26"/>
          <w:szCs w:val="26"/>
        </w:rPr>
        <w:t>Labour</w:t>
      </w:r>
      <w:proofErr w:type="spellEnd"/>
      <w:r w:rsidR="00941798" w:rsidRPr="00DE3DAA">
        <w:rPr>
          <w:rFonts w:ascii="Times New Roman" w:hAnsi="Times New Roman" w:cs="Times New Roman"/>
          <w:sz w:val="26"/>
          <w:szCs w:val="26"/>
        </w:rPr>
        <w:t xml:space="preserve"> administration perceived it as a matter of the utmost importance to </w:t>
      </w:r>
      <w:proofErr w:type="spellStart"/>
      <w:r w:rsidR="00941798" w:rsidRPr="00DE3DAA">
        <w:rPr>
          <w:rFonts w:ascii="Times New Roman" w:hAnsi="Times New Roman" w:cs="Times New Roman"/>
          <w:sz w:val="26"/>
          <w:szCs w:val="26"/>
        </w:rPr>
        <w:t>maximise</w:t>
      </w:r>
      <w:proofErr w:type="spellEnd"/>
      <w:r w:rsidR="00941798" w:rsidRPr="00DE3DAA">
        <w:rPr>
          <w:rFonts w:ascii="Times New Roman" w:hAnsi="Times New Roman" w:cs="Times New Roman"/>
          <w:sz w:val="26"/>
          <w:szCs w:val="26"/>
        </w:rPr>
        <w:t xml:space="preserve"> the ability of employing enterprises to shift into and out of intermediate and external </w:t>
      </w:r>
      <w:proofErr w:type="spellStart"/>
      <w:r w:rsidR="00941798" w:rsidRPr="00DE3DAA">
        <w:rPr>
          <w:rFonts w:ascii="Times New Roman" w:hAnsi="Times New Roman" w:cs="Times New Roman"/>
          <w:sz w:val="26"/>
          <w:szCs w:val="26"/>
        </w:rPr>
        <w:t>labour</w:t>
      </w:r>
      <w:proofErr w:type="spellEnd"/>
      <w:r w:rsidR="00941798" w:rsidRPr="00DE3DAA">
        <w:rPr>
          <w:rFonts w:ascii="Times New Roman" w:hAnsi="Times New Roman" w:cs="Times New Roman"/>
          <w:sz w:val="26"/>
          <w:szCs w:val="26"/>
        </w:rPr>
        <w:t xml:space="preserve"> markets, and to have free recourse to this emerging market in the management of </w:t>
      </w:r>
      <w:proofErr w:type="spellStart"/>
      <w:r w:rsidR="00941798" w:rsidRPr="00DE3DAA">
        <w:rPr>
          <w:rFonts w:ascii="Times New Roman" w:hAnsi="Times New Roman" w:cs="Times New Roman"/>
          <w:sz w:val="26"/>
          <w:szCs w:val="26"/>
        </w:rPr>
        <w:t>labour</w:t>
      </w:r>
      <w:proofErr w:type="spellEnd"/>
      <w:r w:rsidR="00941798" w:rsidRPr="00DE3DAA">
        <w:rPr>
          <w:rFonts w:ascii="Times New Roman" w:hAnsi="Times New Roman" w:cs="Times New Roman"/>
          <w:sz w:val="26"/>
          <w:szCs w:val="26"/>
        </w:rPr>
        <w:t>.</w:t>
      </w:r>
      <w:r w:rsidR="00396FEB" w:rsidRPr="00DE3DAA">
        <w:rPr>
          <w:rStyle w:val="ae"/>
          <w:rFonts w:ascii="Times New Roman" w:hAnsi="Times New Roman" w:cs="Times New Roman"/>
          <w:sz w:val="26"/>
          <w:szCs w:val="26"/>
        </w:rPr>
        <w:footnoteReference w:id="216"/>
      </w:r>
      <w:r w:rsidR="00941798" w:rsidRPr="00DE3DAA">
        <w:rPr>
          <w:rFonts w:ascii="Times New Roman" w:hAnsi="Times New Roman" w:cs="Times New Roman"/>
          <w:sz w:val="26"/>
          <w:szCs w:val="26"/>
        </w:rPr>
        <w:t xml:space="preserve"> The many of their regulatory decisions or interventions in the employment sphere were specifically directed to protecting these particular and often novel forms of </w:t>
      </w:r>
      <w:proofErr w:type="spellStart"/>
      <w:r w:rsidR="00941798" w:rsidRPr="00DE3DAA">
        <w:rPr>
          <w:rFonts w:ascii="Times New Roman" w:hAnsi="Times New Roman" w:cs="Times New Roman"/>
          <w:sz w:val="26"/>
          <w:szCs w:val="26"/>
        </w:rPr>
        <w:t>labour</w:t>
      </w:r>
      <w:proofErr w:type="spellEnd"/>
      <w:r w:rsidR="00941798" w:rsidRPr="00DE3DAA">
        <w:rPr>
          <w:rFonts w:ascii="Times New Roman" w:hAnsi="Times New Roman" w:cs="Times New Roman"/>
          <w:sz w:val="26"/>
          <w:szCs w:val="26"/>
        </w:rPr>
        <w:t xml:space="preserve"> market freedom and adaptability for employing enterprises.</w:t>
      </w:r>
      <w:r w:rsidR="00396FEB" w:rsidRPr="00DE3DAA">
        <w:rPr>
          <w:rStyle w:val="ae"/>
          <w:rFonts w:ascii="Times New Roman" w:hAnsi="Times New Roman" w:cs="Times New Roman"/>
          <w:sz w:val="26"/>
          <w:szCs w:val="26"/>
        </w:rPr>
        <w:footnoteReference w:id="217"/>
      </w:r>
    </w:p>
    <w:p w14:paraId="4F0E3684" w14:textId="28DAF5F2" w:rsidR="00941798" w:rsidRPr="00DE3DAA" w:rsidRDefault="00941798" w:rsidP="00F04349">
      <w:pPr>
        <w:pStyle w:val="a3"/>
        <w:ind w:leftChars="0" w:left="1520"/>
        <w:rPr>
          <w:rFonts w:ascii="Times New Roman" w:hAnsi="Times New Roman" w:cs="Times New Roman"/>
          <w:sz w:val="26"/>
          <w:szCs w:val="26"/>
        </w:rPr>
      </w:pPr>
    </w:p>
    <w:p w14:paraId="731A037A" w14:textId="0071109F" w:rsidR="00941798" w:rsidRPr="00DE3DAA" w:rsidRDefault="00D248F8" w:rsidP="00974057">
      <w:pPr>
        <w:pStyle w:val="a3"/>
        <w:numPr>
          <w:ilvl w:val="0"/>
          <w:numId w:val="19"/>
        </w:numPr>
        <w:ind w:leftChars="0"/>
        <w:rPr>
          <w:rFonts w:ascii="Times New Roman" w:hAnsi="Times New Roman" w:cs="Times New Roman"/>
          <w:sz w:val="26"/>
          <w:szCs w:val="26"/>
        </w:rPr>
      </w:pPr>
      <w:r w:rsidRPr="00DE3DAA">
        <w:rPr>
          <w:rFonts w:ascii="Times New Roman" w:hAnsi="Times New Roman" w:cs="Times New Roman"/>
          <w:sz w:val="26"/>
          <w:szCs w:val="26"/>
        </w:rPr>
        <w:t xml:space="preserve">The major trends and factors </w:t>
      </w:r>
      <w:r w:rsidR="003828BF" w:rsidRPr="00DE3DAA">
        <w:rPr>
          <w:rFonts w:ascii="Times New Roman" w:hAnsi="Times New Roman" w:cs="Times New Roman"/>
          <w:sz w:val="26"/>
          <w:szCs w:val="26"/>
        </w:rPr>
        <w:t xml:space="preserve">affecting on </w:t>
      </w:r>
      <w:r w:rsidRPr="00DE3DAA">
        <w:rPr>
          <w:rFonts w:ascii="Times New Roman" w:hAnsi="Times New Roman" w:cs="Times New Roman"/>
          <w:sz w:val="26"/>
          <w:szCs w:val="26"/>
        </w:rPr>
        <w:t xml:space="preserve">the formation and implementation of public policy </w:t>
      </w:r>
      <w:proofErr w:type="gramStart"/>
      <w:r w:rsidRPr="00DE3DAA">
        <w:rPr>
          <w:rFonts w:ascii="Times New Roman" w:hAnsi="Times New Roman" w:cs="Times New Roman"/>
          <w:sz w:val="26"/>
          <w:szCs w:val="26"/>
        </w:rPr>
        <w:t>with regard to</w:t>
      </w:r>
      <w:proofErr w:type="gramEnd"/>
      <w:r w:rsidRPr="00DE3DAA">
        <w:rPr>
          <w:rFonts w:ascii="Times New Roman" w:hAnsi="Times New Roman" w:cs="Times New Roman"/>
          <w:sz w:val="26"/>
          <w:szCs w:val="26"/>
        </w:rPr>
        <w:t xml:space="preserve"> </w:t>
      </w:r>
      <w:proofErr w:type="spellStart"/>
      <w:r w:rsidRPr="00DE3DAA">
        <w:rPr>
          <w:rFonts w:ascii="Times New Roman" w:hAnsi="Times New Roman" w:cs="Times New Roman"/>
          <w:sz w:val="26"/>
          <w:szCs w:val="26"/>
        </w:rPr>
        <w:t>labour</w:t>
      </w:r>
      <w:proofErr w:type="spellEnd"/>
      <w:r w:rsidRPr="00DE3DAA">
        <w:rPr>
          <w:rFonts w:ascii="Times New Roman" w:hAnsi="Times New Roman" w:cs="Times New Roman"/>
          <w:sz w:val="26"/>
          <w:szCs w:val="26"/>
        </w:rPr>
        <w:t xml:space="preserve"> legislation </w:t>
      </w:r>
    </w:p>
    <w:p w14:paraId="0341CC2C" w14:textId="77777777" w:rsidR="00974057" w:rsidRPr="00DE3DAA" w:rsidRDefault="00974057" w:rsidP="00974057">
      <w:pPr>
        <w:rPr>
          <w:rFonts w:ascii="Times New Roman" w:hAnsi="Times New Roman" w:cs="Times New Roman"/>
          <w:sz w:val="26"/>
          <w:szCs w:val="26"/>
        </w:rPr>
      </w:pPr>
    </w:p>
    <w:p w14:paraId="749F635A" w14:textId="12E72E12" w:rsidR="00C0595C" w:rsidRPr="00DE3DAA" w:rsidRDefault="001807FF" w:rsidP="00F04349">
      <w:pPr>
        <w:pStyle w:val="a3"/>
        <w:ind w:leftChars="0" w:left="1520"/>
        <w:rPr>
          <w:rFonts w:ascii="Times New Roman" w:hAnsi="Times New Roman" w:cs="Times New Roman"/>
          <w:sz w:val="26"/>
          <w:szCs w:val="26"/>
        </w:rPr>
      </w:pPr>
      <w:r w:rsidRPr="00DE3DAA">
        <w:rPr>
          <w:rFonts w:ascii="Times New Roman" w:hAnsi="Times New Roman" w:cs="Times New Roman"/>
          <w:sz w:val="26"/>
          <w:szCs w:val="26"/>
        </w:rPr>
        <w:t xml:space="preserve">Among all those which could be identified as significant, there will </w:t>
      </w:r>
      <w:proofErr w:type="gramStart"/>
      <w:r w:rsidRPr="00DE3DAA">
        <w:rPr>
          <w:rFonts w:ascii="Times New Roman" w:hAnsi="Times New Roman" w:cs="Times New Roman"/>
          <w:sz w:val="26"/>
          <w:szCs w:val="26"/>
        </w:rPr>
        <w:t>actually be</w:t>
      </w:r>
      <w:proofErr w:type="gramEnd"/>
      <w:r w:rsidRPr="00DE3DAA">
        <w:rPr>
          <w:rFonts w:ascii="Times New Roman" w:hAnsi="Times New Roman" w:cs="Times New Roman"/>
          <w:sz w:val="26"/>
          <w:szCs w:val="26"/>
        </w:rPr>
        <w:t xml:space="preserve"> more important factors in the shaping of public policy in theoretical or practical level. </w:t>
      </w:r>
      <w:r w:rsidR="00533BB2" w:rsidRPr="00DE3DAA">
        <w:rPr>
          <w:rFonts w:ascii="Times New Roman" w:hAnsi="Times New Roman" w:cs="Times New Roman"/>
          <w:sz w:val="26"/>
          <w:szCs w:val="26"/>
        </w:rPr>
        <w:t>It has been generally agreed that the most obvious general trends in the evolution of personal work relations during this period consisted in the continued progression towards, first, ‘non-standard’ forms of employment, and secondly, at least until the end of the 1990s, de-</w:t>
      </w:r>
      <w:proofErr w:type="spellStart"/>
      <w:r w:rsidR="00533BB2" w:rsidRPr="00DE3DAA">
        <w:rPr>
          <w:rFonts w:ascii="Times New Roman" w:hAnsi="Times New Roman" w:cs="Times New Roman"/>
          <w:sz w:val="26"/>
          <w:szCs w:val="26"/>
        </w:rPr>
        <w:t>collectivisation</w:t>
      </w:r>
      <w:proofErr w:type="spellEnd"/>
      <w:r w:rsidR="00533BB2" w:rsidRPr="00DE3DAA">
        <w:rPr>
          <w:rFonts w:ascii="Times New Roman" w:hAnsi="Times New Roman" w:cs="Times New Roman"/>
          <w:sz w:val="26"/>
          <w:szCs w:val="26"/>
        </w:rPr>
        <w:t xml:space="preserve"> in the sense of the reduction of the significance of collective bargaining and, to that extent, the individualization of work relations.</w:t>
      </w:r>
      <w:r w:rsidR="00396FEB" w:rsidRPr="00DE3DAA">
        <w:rPr>
          <w:rStyle w:val="ae"/>
          <w:rFonts w:ascii="Times New Roman" w:hAnsi="Times New Roman" w:cs="Times New Roman"/>
          <w:sz w:val="26"/>
          <w:szCs w:val="26"/>
        </w:rPr>
        <w:footnoteReference w:id="218"/>
      </w:r>
      <w:r w:rsidR="00E36982" w:rsidRPr="00DE3DAA">
        <w:rPr>
          <w:rFonts w:ascii="Times New Roman" w:hAnsi="Times New Roman" w:cs="Times New Roman"/>
          <w:sz w:val="26"/>
          <w:szCs w:val="26"/>
        </w:rPr>
        <w:t xml:space="preserve"> </w:t>
      </w:r>
      <w:r w:rsidR="00DE1565" w:rsidRPr="00DE3DAA">
        <w:rPr>
          <w:rFonts w:ascii="Times New Roman" w:hAnsi="Times New Roman" w:cs="Times New Roman"/>
          <w:sz w:val="26"/>
          <w:szCs w:val="26"/>
        </w:rPr>
        <w:t>There is a widespread agreement among both social science analysts and legal analysts that there were important shifts in that direction during this period</w:t>
      </w:r>
      <w:r w:rsidR="00F5688B" w:rsidRPr="00DE3DAA">
        <w:rPr>
          <w:rFonts w:ascii="Times New Roman" w:hAnsi="Times New Roman" w:cs="Times New Roman"/>
          <w:sz w:val="26"/>
          <w:szCs w:val="26"/>
        </w:rPr>
        <w:t xml:space="preserve"> and the</w:t>
      </w:r>
      <w:r w:rsidR="00DE1565" w:rsidRPr="00DE3DAA">
        <w:rPr>
          <w:rFonts w:ascii="Times New Roman" w:hAnsi="Times New Roman" w:cs="Times New Roman"/>
          <w:sz w:val="26"/>
          <w:szCs w:val="26"/>
        </w:rPr>
        <w:t xml:space="preserve"> view of legal analysts are important here because the categories of ‘non-standard forms of employment’ are to quite some extent in their custody.</w:t>
      </w:r>
      <w:r w:rsidR="00396FEB" w:rsidRPr="00DE3DAA">
        <w:rPr>
          <w:rStyle w:val="ae"/>
          <w:rFonts w:ascii="Times New Roman" w:hAnsi="Times New Roman" w:cs="Times New Roman"/>
          <w:sz w:val="26"/>
          <w:szCs w:val="26"/>
        </w:rPr>
        <w:footnoteReference w:id="219"/>
      </w:r>
      <w:r w:rsidR="00207EDA" w:rsidRPr="00DE3DAA">
        <w:rPr>
          <w:rFonts w:ascii="Times New Roman" w:hAnsi="Times New Roman" w:cs="Times New Roman"/>
          <w:sz w:val="26"/>
          <w:szCs w:val="26"/>
        </w:rPr>
        <w:t xml:space="preserve"> There is a general consensus that there was during this period growth in the size of the sections of the workforce, and the proportions of the total workforce, who were engaged in part-time, temporary, agency, and casual employment.</w:t>
      </w:r>
      <w:r w:rsidR="00396FEB" w:rsidRPr="00DE3DAA">
        <w:rPr>
          <w:rStyle w:val="ae"/>
          <w:rFonts w:ascii="Times New Roman" w:hAnsi="Times New Roman" w:cs="Times New Roman"/>
          <w:sz w:val="26"/>
          <w:szCs w:val="26"/>
        </w:rPr>
        <w:footnoteReference w:id="220"/>
      </w:r>
      <w:r w:rsidR="00A01149" w:rsidRPr="00DE3DAA">
        <w:rPr>
          <w:rFonts w:ascii="Times New Roman" w:hAnsi="Times New Roman" w:cs="Times New Roman"/>
          <w:sz w:val="26"/>
          <w:szCs w:val="26"/>
        </w:rPr>
        <w:t xml:space="preserve"> However, it is true that </w:t>
      </w:r>
      <w:r w:rsidR="00097CAA" w:rsidRPr="00DE3DAA">
        <w:rPr>
          <w:rFonts w:ascii="Times New Roman" w:hAnsi="Times New Roman" w:cs="Times New Roman"/>
          <w:sz w:val="26"/>
          <w:szCs w:val="26"/>
        </w:rPr>
        <w:t xml:space="preserve">there is considerable uncertainty, and even disagreement, about the nature and extent of those shifts, and as to </w:t>
      </w:r>
      <w:r w:rsidR="00EA1747" w:rsidRPr="00DE3DAA">
        <w:rPr>
          <w:rFonts w:ascii="Times New Roman" w:hAnsi="Times New Roman" w:cs="Times New Roman"/>
          <w:sz w:val="26"/>
          <w:szCs w:val="26"/>
        </w:rPr>
        <w:t>how much they might cause an inexorable and overwhelming transformation of employment practice and structures; earlier depictions to the latter effect have been the subject of recent skepticism.</w:t>
      </w:r>
      <w:r w:rsidR="00396FEB" w:rsidRPr="00DE3DAA">
        <w:rPr>
          <w:rStyle w:val="ae"/>
          <w:rFonts w:ascii="Times New Roman" w:hAnsi="Times New Roman" w:cs="Times New Roman"/>
          <w:sz w:val="26"/>
          <w:szCs w:val="26"/>
        </w:rPr>
        <w:footnoteReference w:id="221"/>
      </w:r>
      <w:r w:rsidR="00F04190" w:rsidRPr="00DE3DAA">
        <w:rPr>
          <w:rFonts w:ascii="Times New Roman" w:hAnsi="Times New Roman" w:cs="Times New Roman"/>
          <w:sz w:val="26"/>
          <w:szCs w:val="26"/>
        </w:rPr>
        <w:t xml:space="preserve"> </w:t>
      </w:r>
      <w:r w:rsidR="00C51FCE" w:rsidRPr="00DE3DAA">
        <w:rPr>
          <w:rFonts w:ascii="Times New Roman" w:hAnsi="Times New Roman" w:cs="Times New Roman"/>
          <w:sz w:val="26"/>
          <w:szCs w:val="26"/>
        </w:rPr>
        <w:t>In addition, this importance of a trend</w:t>
      </w:r>
      <w:r w:rsidR="00BC36F0" w:rsidRPr="00DE3DAA">
        <w:rPr>
          <w:rFonts w:ascii="Times New Roman" w:hAnsi="Times New Roman" w:cs="Times New Roman"/>
          <w:sz w:val="26"/>
          <w:szCs w:val="26"/>
        </w:rPr>
        <w:t xml:space="preserve">, earlier regarded as a central one, </w:t>
      </w:r>
      <w:r w:rsidR="00C51FCE" w:rsidRPr="00DE3DAA">
        <w:rPr>
          <w:rFonts w:ascii="Times New Roman" w:hAnsi="Times New Roman" w:cs="Times New Roman"/>
          <w:sz w:val="26"/>
          <w:szCs w:val="26"/>
        </w:rPr>
        <w:t xml:space="preserve">away from individual </w:t>
      </w:r>
      <w:r w:rsidR="00C51FCE" w:rsidRPr="00DE3DAA">
        <w:rPr>
          <w:rFonts w:ascii="Times New Roman" w:hAnsi="Times New Roman" w:cs="Times New Roman"/>
          <w:sz w:val="26"/>
          <w:szCs w:val="26"/>
        </w:rPr>
        <w:lastRenderedPageBreak/>
        <w:t>employment relationships towards those of self-employment seem to be more doubtful</w:t>
      </w:r>
      <w:r w:rsidR="00BC36F0" w:rsidRPr="00DE3DAA">
        <w:rPr>
          <w:rFonts w:ascii="Times New Roman" w:hAnsi="Times New Roman" w:cs="Times New Roman"/>
          <w:sz w:val="26"/>
          <w:szCs w:val="26"/>
        </w:rPr>
        <w:t xml:space="preserve"> though the precise statistical assessment is rather controversial.</w:t>
      </w:r>
      <w:r w:rsidR="00396FEB" w:rsidRPr="00DE3DAA">
        <w:rPr>
          <w:rStyle w:val="ae"/>
          <w:rFonts w:ascii="Times New Roman" w:hAnsi="Times New Roman" w:cs="Times New Roman"/>
          <w:sz w:val="26"/>
          <w:szCs w:val="26"/>
        </w:rPr>
        <w:footnoteReference w:id="222"/>
      </w:r>
      <w:r w:rsidR="00BC36F0" w:rsidRPr="00DE3DAA">
        <w:rPr>
          <w:rFonts w:ascii="Times New Roman" w:hAnsi="Times New Roman" w:cs="Times New Roman"/>
          <w:sz w:val="26"/>
          <w:szCs w:val="26"/>
        </w:rPr>
        <w:t xml:space="preserve">Specifically, the ESRC </w:t>
      </w:r>
      <w:proofErr w:type="spellStart"/>
      <w:r w:rsidR="00BC36F0" w:rsidRPr="00DE3DAA">
        <w:rPr>
          <w:rFonts w:ascii="Times New Roman" w:hAnsi="Times New Roman" w:cs="Times New Roman"/>
          <w:sz w:val="26"/>
          <w:szCs w:val="26"/>
        </w:rPr>
        <w:t>Furute</w:t>
      </w:r>
      <w:proofErr w:type="spellEnd"/>
      <w:r w:rsidR="00BC36F0" w:rsidRPr="00DE3DAA">
        <w:rPr>
          <w:rFonts w:ascii="Times New Roman" w:hAnsi="Times New Roman" w:cs="Times New Roman"/>
          <w:sz w:val="26"/>
          <w:szCs w:val="26"/>
        </w:rPr>
        <w:t xml:space="preserve"> of Work Research </w:t>
      </w:r>
      <w:proofErr w:type="spellStart"/>
      <w:r w:rsidR="00BC36F0" w:rsidRPr="00DE3DAA">
        <w:rPr>
          <w:rFonts w:ascii="Times New Roman" w:hAnsi="Times New Roman" w:cs="Times New Roman"/>
          <w:sz w:val="26"/>
          <w:szCs w:val="26"/>
        </w:rPr>
        <w:t>Programme</w:t>
      </w:r>
      <w:proofErr w:type="spellEnd"/>
      <w:r w:rsidR="00BC36F0" w:rsidRPr="00DE3DAA">
        <w:rPr>
          <w:rFonts w:ascii="Times New Roman" w:hAnsi="Times New Roman" w:cs="Times New Roman"/>
          <w:sz w:val="26"/>
          <w:szCs w:val="26"/>
        </w:rPr>
        <w:t xml:space="preserve"> in 2003 says that in the UK, findings from recent national surveys show there is no rapid increase in self-employment. Self-employment grew rapidly from 5 to 11 percent of total employment between 1979 and 1984, but at present it stands at 7 percent.</w:t>
      </w:r>
      <w:r w:rsidR="00396FEB" w:rsidRPr="00DE3DAA">
        <w:rPr>
          <w:rStyle w:val="ae"/>
          <w:rFonts w:ascii="Times New Roman" w:hAnsi="Times New Roman" w:cs="Times New Roman"/>
          <w:sz w:val="26"/>
          <w:szCs w:val="26"/>
        </w:rPr>
        <w:footnoteReference w:id="223"/>
      </w:r>
      <w:r w:rsidR="00C5336D" w:rsidRPr="00DE3DAA">
        <w:rPr>
          <w:rFonts w:ascii="Times New Roman" w:hAnsi="Times New Roman" w:cs="Times New Roman"/>
          <w:sz w:val="26"/>
          <w:szCs w:val="26"/>
        </w:rPr>
        <w:t xml:space="preserve"> However, a different statistical assessment of 11% for 2001 is given in a fact-sheet issued from the same source.</w:t>
      </w:r>
      <w:r w:rsidR="00396FEB" w:rsidRPr="00DE3DAA">
        <w:rPr>
          <w:rStyle w:val="ae"/>
          <w:rFonts w:ascii="Times New Roman" w:hAnsi="Times New Roman" w:cs="Times New Roman"/>
          <w:sz w:val="26"/>
          <w:szCs w:val="26"/>
        </w:rPr>
        <w:footnoteReference w:id="224"/>
      </w:r>
      <w:r w:rsidR="00C5336D" w:rsidRPr="00DE3DAA">
        <w:rPr>
          <w:rFonts w:ascii="Times New Roman" w:hAnsi="Times New Roman" w:cs="Times New Roman"/>
          <w:sz w:val="26"/>
          <w:szCs w:val="26"/>
        </w:rPr>
        <w:t xml:space="preserve"> </w:t>
      </w:r>
      <w:r w:rsidR="009E75FE" w:rsidRPr="00DE3DAA">
        <w:rPr>
          <w:rFonts w:ascii="Times New Roman" w:hAnsi="Times New Roman" w:cs="Times New Roman"/>
          <w:sz w:val="26"/>
          <w:szCs w:val="26"/>
        </w:rPr>
        <w:t xml:space="preserve">That discrepancy may be </w:t>
      </w:r>
      <w:proofErr w:type="spellStart"/>
      <w:r w:rsidR="00131698" w:rsidRPr="00DE3DAA">
        <w:rPr>
          <w:rFonts w:ascii="Times New Roman" w:hAnsi="Times New Roman" w:cs="Times New Roman"/>
          <w:sz w:val="26"/>
          <w:szCs w:val="26"/>
        </w:rPr>
        <w:t>analysed</w:t>
      </w:r>
      <w:proofErr w:type="spellEnd"/>
      <w:r w:rsidR="00131698" w:rsidRPr="00DE3DAA">
        <w:rPr>
          <w:rFonts w:ascii="Times New Roman" w:hAnsi="Times New Roman" w:cs="Times New Roman"/>
          <w:sz w:val="26"/>
          <w:szCs w:val="26"/>
        </w:rPr>
        <w:t xml:space="preserve"> to be </w:t>
      </w:r>
      <w:r w:rsidR="009E75FE" w:rsidRPr="00DE3DAA">
        <w:rPr>
          <w:rFonts w:ascii="Times New Roman" w:hAnsi="Times New Roman" w:cs="Times New Roman"/>
          <w:sz w:val="26"/>
          <w:szCs w:val="26"/>
        </w:rPr>
        <w:t xml:space="preserve">attributable to the </w:t>
      </w:r>
      <w:r w:rsidR="00131698" w:rsidRPr="00DE3DAA">
        <w:rPr>
          <w:rFonts w:ascii="Times New Roman" w:hAnsi="Times New Roman" w:cs="Times New Roman"/>
          <w:sz w:val="26"/>
          <w:szCs w:val="26"/>
        </w:rPr>
        <w:t>significant</w:t>
      </w:r>
      <w:r w:rsidR="009E75FE" w:rsidRPr="00DE3DAA">
        <w:rPr>
          <w:rFonts w:ascii="Times New Roman" w:hAnsi="Times New Roman" w:cs="Times New Roman"/>
          <w:sz w:val="26"/>
          <w:szCs w:val="26"/>
        </w:rPr>
        <w:t xml:space="preserve"> difficulty of drawing that particular category distinction.</w:t>
      </w:r>
      <w:r w:rsidR="00396FEB" w:rsidRPr="00DE3DAA">
        <w:rPr>
          <w:rStyle w:val="ae"/>
          <w:rFonts w:ascii="Times New Roman" w:hAnsi="Times New Roman" w:cs="Times New Roman"/>
          <w:sz w:val="26"/>
          <w:szCs w:val="26"/>
        </w:rPr>
        <w:footnoteReference w:id="225"/>
      </w:r>
      <w:r w:rsidR="00131698" w:rsidRPr="00DE3DAA">
        <w:rPr>
          <w:rFonts w:ascii="Times New Roman" w:hAnsi="Times New Roman" w:cs="Times New Roman"/>
          <w:sz w:val="26"/>
          <w:szCs w:val="26"/>
        </w:rPr>
        <w:t xml:space="preserve"> </w:t>
      </w:r>
      <w:r w:rsidR="002521DD" w:rsidRPr="00DE3DAA">
        <w:rPr>
          <w:rFonts w:ascii="Times New Roman" w:hAnsi="Times New Roman" w:cs="Times New Roman"/>
          <w:sz w:val="26"/>
          <w:szCs w:val="26"/>
        </w:rPr>
        <w:t>More generally, the debate as to whether and how far these evolutions represent the systemic erosion of standard forms of employment remains a difficult and unsatisfactory work of assessment, if only because of the extent to which those phenomena occur in complex patterns of coincidence with each other.</w:t>
      </w:r>
      <w:r w:rsidR="00396FEB" w:rsidRPr="00DE3DAA">
        <w:rPr>
          <w:rStyle w:val="ae"/>
          <w:rFonts w:ascii="Times New Roman" w:hAnsi="Times New Roman" w:cs="Times New Roman"/>
          <w:sz w:val="26"/>
          <w:szCs w:val="26"/>
        </w:rPr>
        <w:footnoteReference w:id="226"/>
      </w:r>
      <w:r w:rsidR="00FE0BC0" w:rsidRPr="00DE3DAA">
        <w:rPr>
          <w:rFonts w:ascii="Times New Roman" w:hAnsi="Times New Roman" w:cs="Times New Roman"/>
          <w:sz w:val="26"/>
          <w:szCs w:val="26"/>
        </w:rPr>
        <w:t xml:space="preserve"> Furthermore, it should be pointed out that in a sense</w:t>
      </w:r>
      <w:r w:rsidR="008E30BF" w:rsidRPr="00DE3DAA">
        <w:rPr>
          <w:rFonts w:ascii="Times New Roman" w:hAnsi="Times New Roman" w:cs="Times New Roman"/>
          <w:sz w:val="26"/>
          <w:szCs w:val="26"/>
        </w:rPr>
        <w:t xml:space="preserve"> we may miss the point and central significance of those phenomena by</w:t>
      </w:r>
      <w:r w:rsidR="00FE0BC0" w:rsidRPr="00DE3DAA">
        <w:rPr>
          <w:rFonts w:ascii="Times New Roman" w:hAnsi="Times New Roman" w:cs="Times New Roman"/>
          <w:sz w:val="26"/>
          <w:szCs w:val="26"/>
        </w:rPr>
        <w:t xml:space="preserve"> </w:t>
      </w:r>
      <w:r w:rsidR="008E30BF" w:rsidRPr="00DE3DAA">
        <w:rPr>
          <w:rFonts w:ascii="Times New Roman" w:hAnsi="Times New Roman" w:cs="Times New Roman"/>
          <w:sz w:val="26"/>
          <w:szCs w:val="26"/>
        </w:rPr>
        <w:t>analyzing</w:t>
      </w:r>
      <w:r w:rsidR="004270DD" w:rsidRPr="00DE3DAA">
        <w:rPr>
          <w:rFonts w:ascii="Times New Roman" w:hAnsi="Times New Roman" w:cs="Times New Roman"/>
          <w:sz w:val="26"/>
          <w:szCs w:val="26"/>
        </w:rPr>
        <w:t xml:space="preserve"> them within an analytical framework of de-</w:t>
      </w:r>
      <w:proofErr w:type="spellStart"/>
      <w:r w:rsidR="004270DD" w:rsidRPr="00DE3DAA">
        <w:rPr>
          <w:rFonts w:ascii="Times New Roman" w:hAnsi="Times New Roman" w:cs="Times New Roman"/>
          <w:sz w:val="26"/>
          <w:szCs w:val="26"/>
        </w:rPr>
        <w:t>standardisation</w:t>
      </w:r>
      <w:proofErr w:type="spellEnd"/>
      <w:r w:rsidR="004270DD" w:rsidRPr="00DE3DAA">
        <w:rPr>
          <w:rFonts w:ascii="Times New Roman" w:hAnsi="Times New Roman" w:cs="Times New Roman"/>
          <w:sz w:val="26"/>
          <w:szCs w:val="26"/>
        </w:rPr>
        <w:t xml:space="preserve"> of employment or work relationships</w:t>
      </w:r>
      <w:r w:rsidR="00B737A4" w:rsidRPr="00DE3DAA">
        <w:rPr>
          <w:rFonts w:ascii="Times New Roman" w:hAnsi="Times New Roman" w:cs="Times New Roman"/>
          <w:sz w:val="26"/>
          <w:szCs w:val="26"/>
        </w:rPr>
        <w:t xml:space="preserve"> and then over-unifying or unduly homogenizing those phenomena which may occur in a very varied economic and occupational contexts.</w:t>
      </w:r>
      <w:r w:rsidR="00396FEB" w:rsidRPr="00DE3DAA">
        <w:rPr>
          <w:rStyle w:val="ae"/>
          <w:rFonts w:ascii="Times New Roman" w:hAnsi="Times New Roman" w:cs="Times New Roman"/>
          <w:sz w:val="26"/>
          <w:szCs w:val="26"/>
        </w:rPr>
        <w:footnoteReference w:id="227"/>
      </w:r>
      <w:r w:rsidR="009E3F87" w:rsidRPr="00DE3DAA">
        <w:rPr>
          <w:rFonts w:ascii="Times New Roman" w:hAnsi="Times New Roman" w:cs="Times New Roman"/>
          <w:sz w:val="26"/>
          <w:szCs w:val="26"/>
        </w:rPr>
        <w:t xml:space="preserve"> That is, it may well be a misleading to draw </w:t>
      </w:r>
      <w:r w:rsidR="009E3F87" w:rsidRPr="00DE3DAA">
        <w:rPr>
          <w:rFonts w:ascii="Times New Roman" w:hAnsi="Times New Roman" w:cs="Times New Roman"/>
          <w:sz w:val="26"/>
          <w:szCs w:val="26"/>
        </w:rPr>
        <w:lastRenderedPageBreak/>
        <w:t>descriptive unification of the two situations as ones of de-</w:t>
      </w:r>
      <w:proofErr w:type="spellStart"/>
      <w:r w:rsidR="009E3F87" w:rsidRPr="00DE3DAA">
        <w:rPr>
          <w:rFonts w:ascii="Times New Roman" w:hAnsi="Times New Roman" w:cs="Times New Roman"/>
          <w:sz w:val="26"/>
          <w:szCs w:val="26"/>
        </w:rPr>
        <w:t>standardised</w:t>
      </w:r>
      <w:proofErr w:type="spellEnd"/>
      <w:r w:rsidR="009E3F87" w:rsidRPr="00DE3DAA">
        <w:rPr>
          <w:rFonts w:ascii="Times New Roman" w:hAnsi="Times New Roman" w:cs="Times New Roman"/>
          <w:sz w:val="26"/>
          <w:szCs w:val="26"/>
        </w:rPr>
        <w:t xml:space="preserve"> employment when the situation comes to a</w:t>
      </w:r>
      <w:r w:rsidR="00B737A4" w:rsidRPr="00DE3DAA">
        <w:rPr>
          <w:rFonts w:ascii="Times New Roman" w:hAnsi="Times New Roman" w:cs="Times New Roman"/>
          <w:sz w:val="26"/>
          <w:szCs w:val="26"/>
        </w:rPr>
        <w:t xml:space="preserve"> senior managerial employee who becomes a part-time consultant to his or her employing enterprise</w:t>
      </w:r>
      <w:r w:rsidR="009E3F87" w:rsidRPr="00DE3DAA">
        <w:rPr>
          <w:rFonts w:ascii="Times New Roman" w:hAnsi="Times New Roman" w:cs="Times New Roman"/>
          <w:sz w:val="26"/>
          <w:szCs w:val="26"/>
        </w:rPr>
        <w:t xml:space="preserve"> and the other situation of</w:t>
      </w:r>
      <w:r w:rsidR="00B737A4" w:rsidRPr="00DE3DAA">
        <w:rPr>
          <w:rFonts w:ascii="Times New Roman" w:hAnsi="Times New Roman" w:cs="Times New Roman"/>
          <w:sz w:val="26"/>
          <w:szCs w:val="26"/>
        </w:rPr>
        <w:t xml:space="preserve"> a manual employee working on an ‘on-demand’ basis</w:t>
      </w:r>
      <w:r w:rsidR="009E3F87" w:rsidRPr="00DE3DAA">
        <w:rPr>
          <w:rFonts w:ascii="Times New Roman" w:hAnsi="Times New Roman" w:cs="Times New Roman"/>
          <w:sz w:val="26"/>
          <w:szCs w:val="26"/>
        </w:rPr>
        <w:t>.</w:t>
      </w:r>
      <w:r w:rsidR="00396FEB" w:rsidRPr="00DE3DAA">
        <w:rPr>
          <w:rStyle w:val="ae"/>
          <w:rFonts w:ascii="Times New Roman" w:hAnsi="Times New Roman" w:cs="Times New Roman"/>
          <w:sz w:val="26"/>
          <w:szCs w:val="26"/>
        </w:rPr>
        <w:footnoteReference w:id="228"/>
      </w:r>
      <w:r w:rsidR="009E3F87" w:rsidRPr="00DE3DAA">
        <w:rPr>
          <w:rFonts w:ascii="Times New Roman" w:hAnsi="Times New Roman" w:cs="Times New Roman"/>
          <w:sz w:val="26"/>
          <w:szCs w:val="26"/>
        </w:rPr>
        <w:t xml:space="preserve"> </w:t>
      </w:r>
      <w:r w:rsidR="005A16E4" w:rsidRPr="00DE3DAA">
        <w:rPr>
          <w:rFonts w:ascii="Times New Roman" w:hAnsi="Times New Roman" w:cs="Times New Roman"/>
          <w:sz w:val="26"/>
          <w:szCs w:val="26"/>
        </w:rPr>
        <w:t xml:space="preserve">In addition, </w:t>
      </w:r>
      <w:r w:rsidR="004A364D" w:rsidRPr="00DE3DAA">
        <w:rPr>
          <w:rFonts w:ascii="Times New Roman" w:hAnsi="Times New Roman" w:cs="Times New Roman"/>
          <w:sz w:val="26"/>
          <w:szCs w:val="26"/>
        </w:rPr>
        <w:t xml:space="preserve">it can be pointed that </w:t>
      </w:r>
      <w:r w:rsidR="005A16E4" w:rsidRPr="00DE3DAA">
        <w:rPr>
          <w:rFonts w:ascii="Times New Roman" w:hAnsi="Times New Roman" w:cs="Times New Roman"/>
          <w:sz w:val="26"/>
          <w:szCs w:val="26"/>
        </w:rPr>
        <w:t>the idea of de-</w:t>
      </w:r>
      <w:proofErr w:type="spellStart"/>
      <w:r w:rsidR="005A16E4" w:rsidRPr="00DE3DAA">
        <w:rPr>
          <w:rFonts w:ascii="Times New Roman" w:hAnsi="Times New Roman" w:cs="Times New Roman"/>
          <w:sz w:val="26"/>
          <w:szCs w:val="26"/>
        </w:rPr>
        <w:t>standardisation</w:t>
      </w:r>
      <w:proofErr w:type="spellEnd"/>
      <w:r w:rsidR="005A16E4" w:rsidRPr="00DE3DAA">
        <w:rPr>
          <w:rFonts w:ascii="Times New Roman" w:hAnsi="Times New Roman" w:cs="Times New Roman"/>
          <w:sz w:val="26"/>
          <w:szCs w:val="26"/>
        </w:rPr>
        <w:t xml:space="preserve"> of personal work relations may exaggerate the distinctiveness of the phenomena of ‘de-</w:t>
      </w:r>
      <w:proofErr w:type="spellStart"/>
      <w:r w:rsidR="005A16E4" w:rsidRPr="00DE3DAA">
        <w:rPr>
          <w:rFonts w:ascii="Times New Roman" w:hAnsi="Times New Roman" w:cs="Times New Roman"/>
          <w:sz w:val="26"/>
          <w:szCs w:val="26"/>
        </w:rPr>
        <w:t>standardisation</w:t>
      </w:r>
      <w:proofErr w:type="spellEnd"/>
      <w:r w:rsidR="005A16E4" w:rsidRPr="00DE3DAA">
        <w:rPr>
          <w:rFonts w:ascii="Times New Roman" w:hAnsi="Times New Roman" w:cs="Times New Roman"/>
          <w:sz w:val="26"/>
          <w:szCs w:val="26"/>
        </w:rPr>
        <w:t>’ from other parallel shifts and changes occurring within the supposedly ‘standard’ employment relationship.</w:t>
      </w:r>
      <w:r w:rsidR="00253B56" w:rsidRPr="00DE3DAA">
        <w:rPr>
          <w:rStyle w:val="ae"/>
          <w:rFonts w:ascii="Times New Roman" w:hAnsi="Times New Roman" w:cs="Times New Roman"/>
          <w:sz w:val="26"/>
          <w:szCs w:val="26"/>
        </w:rPr>
        <w:footnoteReference w:id="229"/>
      </w:r>
      <w:r w:rsidR="00030D63" w:rsidRPr="00DE3DAA">
        <w:rPr>
          <w:rFonts w:ascii="Times New Roman" w:hAnsi="Times New Roman" w:cs="Times New Roman"/>
          <w:sz w:val="26"/>
          <w:szCs w:val="26"/>
        </w:rPr>
        <w:t xml:space="preserve"> It can </w:t>
      </w:r>
      <w:r w:rsidR="00DE6730" w:rsidRPr="00DE3DAA">
        <w:rPr>
          <w:rFonts w:ascii="Times New Roman" w:hAnsi="Times New Roman" w:cs="Times New Roman"/>
          <w:sz w:val="26"/>
          <w:szCs w:val="26"/>
        </w:rPr>
        <w:t xml:space="preserve">be suggested </w:t>
      </w:r>
      <w:r w:rsidR="001A0D0D" w:rsidRPr="00DE3DAA">
        <w:rPr>
          <w:rFonts w:ascii="Times New Roman" w:hAnsi="Times New Roman" w:cs="Times New Roman"/>
          <w:sz w:val="26"/>
          <w:szCs w:val="26"/>
        </w:rPr>
        <w:t>to view the phenomena of ‘de-</w:t>
      </w:r>
      <w:proofErr w:type="spellStart"/>
      <w:r w:rsidR="001A0D0D" w:rsidRPr="00DE3DAA">
        <w:rPr>
          <w:rFonts w:ascii="Times New Roman" w:hAnsi="Times New Roman" w:cs="Times New Roman"/>
          <w:sz w:val="26"/>
          <w:szCs w:val="26"/>
        </w:rPr>
        <w:t>standardisation</w:t>
      </w:r>
      <w:proofErr w:type="spellEnd"/>
      <w:r w:rsidR="001A0D0D" w:rsidRPr="00DE3DAA">
        <w:rPr>
          <w:rFonts w:ascii="Times New Roman" w:hAnsi="Times New Roman" w:cs="Times New Roman"/>
          <w:sz w:val="26"/>
          <w:szCs w:val="26"/>
        </w:rPr>
        <w:t>’ as being aspects of a larger, looser category of ways in which personal work relations may undergo re-structuring, typically on the initiative of the employing enterprise. In this regard, the phenomena of ‘de-</w:t>
      </w:r>
      <w:proofErr w:type="spellStart"/>
      <w:r w:rsidR="001A0D0D" w:rsidRPr="00DE3DAA">
        <w:rPr>
          <w:rFonts w:ascii="Times New Roman" w:hAnsi="Times New Roman" w:cs="Times New Roman"/>
          <w:sz w:val="26"/>
          <w:szCs w:val="26"/>
        </w:rPr>
        <w:t>standardisation</w:t>
      </w:r>
      <w:proofErr w:type="spellEnd"/>
      <w:r w:rsidR="001A0D0D" w:rsidRPr="00DE3DAA">
        <w:rPr>
          <w:rFonts w:ascii="Times New Roman" w:hAnsi="Times New Roman" w:cs="Times New Roman"/>
          <w:sz w:val="26"/>
          <w:szCs w:val="26"/>
        </w:rPr>
        <w:t>’ constitute aspects of a strong and somewhat accelerating general dynamic of re-structuring of personal work relations but they are certainly not the only aspects and may not even be the most important ones.</w:t>
      </w:r>
      <w:r w:rsidR="00253B56" w:rsidRPr="00DE3DAA">
        <w:rPr>
          <w:rStyle w:val="ae"/>
          <w:rFonts w:ascii="Times New Roman" w:hAnsi="Times New Roman" w:cs="Times New Roman"/>
          <w:sz w:val="26"/>
          <w:szCs w:val="26"/>
        </w:rPr>
        <w:footnoteReference w:id="230"/>
      </w:r>
      <w:r w:rsidR="001A0D0D" w:rsidRPr="00DE3DAA">
        <w:rPr>
          <w:rFonts w:ascii="Times New Roman" w:hAnsi="Times New Roman" w:cs="Times New Roman"/>
          <w:sz w:val="26"/>
          <w:szCs w:val="26"/>
        </w:rPr>
        <w:t xml:space="preserve"> </w:t>
      </w:r>
      <w:r w:rsidR="00D317A9" w:rsidRPr="00DE3DAA">
        <w:rPr>
          <w:rFonts w:ascii="Times New Roman" w:hAnsi="Times New Roman" w:cs="Times New Roman"/>
          <w:sz w:val="26"/>
          <w:szCs w:val="26"/>
        </w:rPr>
        <w:t>Thus, other major kinds of re-structuring of personal work relations may occur even fully within the compass of the full-time, long-term employment relationship.</w:t>
      </w:r>
      <w:r w:rsidR="00253B56" w:rsidRPr="00DE3DAA">
        <w:rPr>
          <w:rStyle w:val="ae"/>
          <w:rFonts w:ascii="Times New Roman" w:hAnsi="Times New Roman" w:cs="Times New Roman"/>
          <w:sz w:val="26"/>
          <w:szCs w:val="26"/>
        </w:rPr>
        <w:footnoteReference w:id="231"/>
      </w:r>
    </w:p>
    <w:p w14:paraId="12EC6A77" w14:textId="74CF8B2F" w:rsidR="004826C5" w:rsidRPr="00DE3DAA" w:rsidRDefault="00D317A9" w:rsidP="00F04349">
      <w:pPr>
        <w:pStyle w:val="a3"/>
        <w:ind w:leftChars="0" w:left="1520"/>
        <w:rPr>
          <w:rFonts w:ascii="Times New Roman" w:hAnsi="Times New Roman" w:cs="Times New Roman"/>
          <w:sz w:val="26"/>
          <w:szCs w:val="26"/>
        </w:rPr>
      </w:pPr>
      <w:r w:rsidRPr="00DE3DAA">
        <w:rPr>
          <w:rFonts w:ascii="Times New Roman" w:hAnsi="Times New Roman" w:cs="Times New Roman"/>
          <w:sz w:val="26"/>
          <w:szCs w:val="26"/>
        </w:rPr>
        <w:t xml:space="preserve"> An employment relationship or a set of employment relationships may be re-structured and fully re-specified without necessarily being de-</w:t>
      </w:r>
      <w:proofErr w:type="spellStart"/>
      <w:r w:rsidRPr="00DE3DAA">
        <w:rPr>
          <w:rFonts w:ascii="Times New Roman" w:hAnsi="Times New Roman" w:cs="Times New Roman"/>
          <w:sz w:val="26"/>
          <w:szCs w:val="26"/>
        </w:rPr>
        <w:t>standardised</w:t>
      </w:r>
      <w:proofErr w:type="spellEnd"/>
      <w:r w:rsidRPr="00DE3DAA">
        <w:rPr>
          <w:rFonts w:ascii="Times New Roman" w:hAnsi="Times New Roman" w:cs="Times New Roman"/>
          <w:sz w:val="26"/>
          <w:szCs w:val="26"/>
        </w:rPr>
        <w:t>.</w:t>
      </w:r>
      <w:r w:rsidR="00B264A3" w:rsidRPr="00DE3DAA">
        <w:rPr>
          <w:rStyle w:val="ae"/>
          <w:rFonts w:ascii="Times New Roman" w:hAnsi="Times New Roman" w:cs="Times New Roman"/>
          <w:sz w:val="26"/>
          <w:szCs w:val="26"/>
        </w:rPr>
        <w:footnoteReference w:id="232"/>
      </w:r>
      <w:r w:rsidR="0065722A" w:rsidRPr="00DE3DAA">
        <w:rPr>
          <w:rFonts w:ascii="Times New Roman" w:hAnsi="Times New Roman" w:cs="Times New Roman"/>
          <w:sz w:val="26"/>
          <w:szCs w:val="26"/>
        </w:rPr>
        <w:t xml:space="preserve"> </w:t>
      </w:r>
      <w:r w:rsidR="005935F2" w:rsidRPr="00DE3DAA">
        <w:rPr>
          <w:rFonts w:ascii="Times New Roman" w:hAnsi="Times New Roman" w:cs="Times New Roman"/>
          <w:sz w:val="26"/>
          <w:szCs w:val="26"/>
        </w:rPr>
        <w:t>While the general goal of cost-efficiency has been pursued by means of a very wide variety of strategies and tactics in the organization of forms and structures of production and of use of manpower</w:t>
      </w:r>
      <w:r w:rsidR="00983414" w:rsidRPr="00DE3DAA">
        <w:rPr>
          <w:rFonts w:ascii="Times New Roman" w:hAnsi="Times New Roman" w:cs="Times New Roman"/>
          <w:sz w:val="26"/>
          <w:szCs w:val="26"/>
        </w:rPr>
        <w:t>, alongside de-</w:t>
      </w:r>
      <w:proofErr w:type="spellStart"/>
      <w:r w:rsidR="00983414" w:rsidRPr="00DE3DAA">
        <w:rPr>
          <w:rFonts w:ascii="Times New Roman" w:hAnsi="Times New Roman" w:cs="Times New Roman"/>
          <w:sz w:val="26"/>
          <w:szCs w:val="26"/>
        </w:rPr>
        <w:t>standardisation</w:t>
      </w:r>
      <w:proofErr w:type="spellEnd"/>
      <w:r w:rsidR="00983414" w:rsidRPr="00DE3DAA">
        <w:rPr>
          <w:rFonts w:ascii="Times New Roman" w:hAnsi="Times New Roman" w:cs="Times New Roman"/>
          <w:sz w:val="26"/>
          <w:szCs w:val="26"/>
        </w:rPr>
        <w:t xml:space="preserve"> of personal work relations, two other main part of factors can be mentioned.</w:t>
      </w:r>
      <w:r w:rsidR="00B264A3" w:rsidRPr="00DE3DAA">
        <w:rPr>
          <w:rStyle w:val="ae"/>
          <w:rFonts w:ascii="Times New Roman" w:hAnsi="Times New Roman" w:cs="Times New Roman"/>
          <w:sz w:val="26"/>
          <w:szCs w:val="26"/>
        </w:rPr>
        <w:footnoteReference w:id="233"/>
      </w:r>
      <w:r w:rsidR="00983414" w:rsidRPr="00DE3DAA">
        <w:rPr>
          <w:rFonts w:ascii="Times New Roman" w:hAnsi="Times New Roman" w:cs="Times New Roman"/>
          <w:sz w:val="26"/>
          <w:szCs w:val="26"/>
        </w:rPr>
        <w:t xml:space="preserve"> </w:t>
      </w:r>
      <w:r w:rsidR="008B21A5" w:rsidRPr="00DE3DAA">
        <w:rPr>
          <w:rFonts w:ascii="Times New Roman" w:hAnsi="Times New Roman" w:cs="Times New Roman"/>
          <w:sz w:val="26"/>
          <w:szCs w:val="26"/>
        </w:rPr>
        <w:t>The</w:t>
      </w:r>
      <w:r w:rsidR="00983414" w:rsidRPr="00DE3DAA">
        <w:rPr>
          <w:rFonts w:ascii="Times New Roman" w:hAnsi="Times New Roman" w:cs="Times New Roman"/>
          <w:sz w:val="26"/>
          <w:szCs w:val="26"/>
        </w:rPr>
        <w:t xml:space="preserve"> re-</w:t>
      </w:r>
      <w:proofErr w:type="spellStart"/>
      <w:r w:rsidR="00983414" w:rsidRPr="00DE3DAA">
        <w:rPr>
          <w:rFonts w:ascii="Times New Roman" w:hAnsi="Times New Roman" w:cs="Times New Roman"/>
          <w:sz w:val="26"/>
          <w:szCs w:val="26"/>
        </w:rPr>
        <w:lastRenderedPageBreak/>
        <w:t>organising</w:t>
      </w:r>
      <w:proofErr w:type="spellEnd"/>
      <w:r w:rsidR="00983414" w:rsidRPr="00DE3DAA">
        <w:rPr>
          <w:rFonts w:ascii="Times New Roman" w:hAnsi="Times New Roman" w:cs="Times New Roman"/>
          <w:sz w:val="26"/>
          <w:szCs w:val="26"/>
        </w:rPr>
        <w:t xml:space="preserve"> of working-time, job specification and payment systems within ‘standard’ employment relationship</w:t>
      </w:r>
      <w:r w:rsidR="008B21A5" w:rsidRPr="00DE3DAA">
        <w:rPr>
          <w:rFonts w:ascii="Times New Roman" w:hAnsi="Times New Roman" w:cs="Times New Roman"/>
          <w:sz w:val="26"/>
          <w:szCs w:val="26"/>
        </w:rPr>
        <w:t>s.</w:t>
      </w:r>
      <w:r w:rsidR="00B264A3" w:rsidRPr="00DE3DAA">
        <w:rPr>
          <w:rStyle w:val="ae"/>
          <w:rFonts w:ascii="Times New Roman" w:hAnsi="Times New Roman" w:cs="Times New Roman"/>
          <w:sz w:val="26"/>
          <w:szCs w:val="26"/>
        </w:rPr>
        <w:footnoteReference w:id="234"/>
      </w:r>
      <w:r w:rsidR="008B21A5" w:rsidRPr="00DE3DAA">
        <w:rPr>
          <w:rFonts w:ascii="Times New Roman" w:hAnsi="Times New Roman" w:cs="Times New Roman"/>
          <w:sz w:val="26"/>
          <w:szCs w:val="26"/>
        </w:rPr>
        <w:t xml:space="preserve"> The other concerns the re-</w:t>
      </w:r>
      <w:proofErr w:type="spellStart"/>
      <w:r w:rsidR="008B21A5" w:rsidRPr="00DE3DAA">
        <w:rPr>
          <w:rFonts w:ascii="Times New Roman" w:hAnsi="Times New Roman" w:cs="Times New Roman"/>
          <w:sz w:val="26"/>
          <w:szCs w:val="26"/>
        </w:rPr>
        <w:t>organisation</w:t>
      </w:r>
      <w:proofErr w:type="spellEnd"/>
      <w:r w:rsidR="008B21A5" w:rsidRPr="00DE3DAA">
        <w:rPr>
          <w:rFonts w:ascii="Times New Roman" w:hAnsi="Times New Roman" w:cs="Times New Roman"/>
          <w:sz w:val="26"/>
          <w:szCs w:val="26"/>
        </w:rPr>
        <w:t xml:space="preserve"> of employing enterprises, which might consist of either external re-structuring or internal re-structuring.</w:t>
      </w:r>
      <w:r w:rsidR="00B264A3" w:rsidRPr="00DE3DAA">
        <w:rPr>
          <w:rStyle w:val="ae"/>
          <w:rFonts w:ascii="Times New Roman" w:hAnsi="Times New Roman" w:cs="Times New Roman"/>
          <w:sz w:val="26"/>
          <w:szCs w:val="26"/>
        </w:rPr>
        <w:footnoteReference w:id="235"/>
      </w:r>
      <w:r w:rsidR="00C0595C" w:rsidRPr="00DE3DAA">
        <w:rPr>
          <w:rFonts w:ascii="Times New Roman" w:hAnsi="Times New Roman" w:cs="Times New Roman"/>
          <w:sz w:val="26"/>
          <w:szCs w:val="26"/>
        </w:rPr>
        <w:t xml:space="preserve"> </w:t>
      </w:r>
      <w:r w:rsidR="00CD175D" w:rsidRPr="00DE3DAA">
        <w:rPr>
          <w:rFonts w:ascii="Times New Roman" w:hAnsi="Times New Roman" w:cs="Times New Roman"/>
          <w:sz w:val="26"/>
          <w:szCs w:val="26"/>
        </w:rPr>
        <w:t>Here,</w:t>
      </w:r>
      <w:r w:rsidR="00E85358" w:rsidRPr="00DE3DAA">
        <w:rPr>
          <w:rFonts w:ascii="Times New Roman" w:hAnsi="Times New Roman" w:cs="Times New Roman"/>
          <w:sz w:val="26"/>
          <w:szCs w:val="26"/>
        </w:rPr>
        <w:t xml:space="preserve"> </w:t>
      </w:r>
      <w:r w:rsidR="00CD175D" w:rsidRPr="00DE3DAA">
        <w:rPr>
          <w:rFonts w:ascii="Times New Roman" w:hAnsi="Times New Roman" w:cs="Times New Roman"/>
          <w:sz w:val="26"/>
          <w:szCs w:val="26"/>
        </w:rPr>
        <w:t>e</w:t>
      </w:r>
      <w:r w:rsidR="00C0595C" w:rsidRPr="00DE3DAA">
        <w:rPr>
          <w:rFonts w:ascii="Times New Roman" w:hAnsi="Times New Roman" w:cs="Times New Roman"/>
          <w:sz w:val="26"/>
          <w:szCs w:val="26"/>
        </w:rPr>
        <w:t>xternal re-structuring consists of the re-arrangement of ownership or control of the employing enterprise or the total or, partial contracting out, contractual sharing, or delegation to agencies, of its employing functions.</w:t>
      </w:r>
      <w:r w:rsidR="00B264A3" w:rsidRPr="00DE3DAA">
        <w:rPr>
          <w:rStyle w:val="ae"/>
          <w:rFonts w:ascii="Times New Roman" w:hAnsi="Times New Roman" w:cs="Times New Roman"/>
          <w:sz w:val="26"/>
          <w:szCs w:val="26"/>
        </w:rPr>
        <w:footnoteReference w:id="236"/>
      </w:r>
      <w:r w:rsidR="00C0595C" w:rsidRPr="00DE3DAA">
        <w:rPr>
          <w:rFonts w:ascii="Times New Roman" w:hAnsi="Times New Roman" w:cs="Times New Roman"/>
          <w:sz w:val="26"/>
          <w:szCs w:val="26"/>
        </w:rPr>
        <w:t xml:space="preserve"> Internal re-structuring consists of re-distributing or re-grouping managerial responsibility for employment functions within the employing enterprise.</w:t>
      </w:r>
      <w:r w:rsidR="00B264A3" w:rsidRPr="00DE3DAA">
        <w:rPr>
          <w:rStyle w:val="ae"/>
          <w:rFonts w:ascii="Times New Roman" w:hAnsi="Times New Roman" w:cs="Times New Roman"/>
          <w:sz w:val="26"/>
          <w:szCs w:val="26"/>
        </w:rPr>
        <w:footnoteReference w:id="237"/>
      </w:r>
      <w:r w:rsidR="00E85358" w:rsidRPr="00DE3DAA">
        <w:rPr>
          <w:rFonts w:ascii="Times New Roman" w:hAnsi="Times New Roman" w:cs="Times New Roman"/>
          <w:sz w:val="26"/>
          <w:szCs w:val="26"/>
        </w:rPr>
        <w:t xml:space="preserve"> </w:t>
      </w:r>
      <w:r w:rsidR="00CA02A7" w:rsidRPr="00DE3DAA">
        <w:rPr>
          <w:rFonts w:ascii="Times New Roman" w:hAnsi="Times New Roman" w:cs="Times New Roman"/>
          <w:sz w:val="26"/>
          <w:szCs w:val="26"/>
        </w:rPr>
        <w:t>It</w:t>
      </w:r>
      <w:r w:rsidR="00961442" w:rsidRPr="00DE3DAA">
        <w:rPr>
          <w:rFonts w:ascii="Times New Roman" w:hAnsi="Times New Roman" w:cs="Times New Roman"/>
          <w:sz w:val="26"/>
          <w:szCs w:val="26"/>
        </w:rPr>
        <w:t xml:space="preserve"> should be noted that </w:t>
      </w:r>
      <w:r w:rsidR="00E85358" w:rsidRPr="00DE3DAA">
        <w:rPr>
          <w:rFonts w:ascii="Times New Roman" w:hAnsi="Times New Roman" w:cs="Times New Roman"/>
          <w:sz w:val="26"/>
          <w:szCs w:val="26"/>
        </w:rPr>
        <w:t>either of these</w:t>
      </w:r>
      <w:r w:rsidR="00961442" w:rsidRPr="00DE3DAA">
        <w:rPr>
          <w:rFonts w:ascii="Times New Roman" w:hAnsi="Times New Roman" w:cs="Times New Roman"/>
          <w:sz w:val="26"/>
          <w:szCs w:val="26"/>
        </w:rPr>
        <w:t xml:space="preserve"> sets of strategies are not a new or novelty during this period but have a continuous history at least from the 1960s onwards</w:t>
      </w:r>
      <w:r w:rsidR="00CA02A7" w:rsidRPr="00DE3DAA">
        <w:rPr>
          <w:rFonts w:ascii="Times New Roman" w:hAnsi="Times New Roman" w:cs="Times New Roman"/>
          <w:sz w:val="26"/>
          <w:szCs w:val="26"/>
        </w:rPr>
        <w:t xml:space="preserve"> if not before, however each of these two sets of strategies seems to have been deployed more intensively and extensively, and in increasingly elaborate forms, in the course of the period during that of the Conservative administration of </w:t>
      </w:r>
      <w:proofErr w:type="spellStart"/>
      <w:r w:rsidR="00CA02A7" w:rsidRPr="00DE3DAA">
        <w:rPr>
          <w:rFonts w:ascii="Times New Roman" w:hAnsi="Times New Roman" w:cs="Times New Roman"/>
          <w:sz w:val="26"/>
          <w:szCs w:val="26"/>
        </w:rPr>
        <w:t>Mr</w:t>
      </w:r>
      <w:proofErr w:type="spellEnd"/>
      <w:r w:rsidR="00CA02A7" w:rsidRPr="00DE3DAA">
        <w:rPr>
          <w:rFonts w:ascii="Times New Roman" w:hAnsi="Times New Roman" w:cs="Times New Roman"/>
          <w:sz w:val="26"/>
          <w:szCs w:val="26"/>
        </w:rPr>
        <w:t xml:space="preserve"> John Major</w:t>
      </w:r>
      <w:r w:rsidR="00B264A3" w:rsidRPr="00DE3DAA">
        <w:rPr>
          <w:rStyle w:val="ae"/>
          <w:rFonts w:ascii="Times New Roman" w:hAnsi="Times New Roman" w:cs="Times New Roman"/>
          <w:sz w:val="26"/>
          <w:szCs w:val="26"/>
        </w:rPr>
        <w:footnoteReference w:id="238"/>
      </w:r>
      <w:r w:rsidR="00CA02A7" w:rsidRPr="00DE3DAA">
        <w:rPr>
          <w:rFonts w:ascii="Times New Roman" w:hAnsi="Times New Roman" w:cs="Times New Roman"/>
          <w:sz w:val="26"/>
          <w:szCs w:val="26"/>
        </w:rPr>
        <w:t xml:space="preserve"> and the subsequent New </w:t>
      </w:r>
      <w:proofErr w:type="spellStart"/>
      <w:r w:rsidR="00CA02A7" w:rsidRPr="00DE3DAA">
        <w:rPr>
          <w:rFonts w:ascii="Times New Roman" w:hAnsi="Times New Roman" w:cs="Times New Roman"/>
          <w:sz w:val="26"/>
          <w:szCs w:val="26"/>
        </w:rPr>
        <w:t>Labour</w:t>
      </w:r>
      <w:proofErr w:type="spellEnd"/>
      <w:r w:rsidR="00CA02A7" w:rsidRPr="00DE3DAA">
        <w:rPr>
          <w:rFonts w:ascii="Times New Roman" w:hAnsi="Times New Roman" w:cs="Times New Roman"/>
          <w:sz w:val="26"/>
          <w:szCs w:val="26"/>
        </w:rPr>
        <w:t xml:space="preserve"> governments of </w:t>
      </w:r>
      <w:proofErr w:type="spellStart"/>
      <w:r w:rsidR="00CA02A7" w:rsidRPr="00DE3DAA">
        <w:rPr>
          <w:rFonts w:ascii="Times New Roman" w:hAnsi="Times New Roman" w:cs="Times New Roman"/>
          <w:sz w:val="26"/>
          <w:szCs w:val="26"/>
        </w:rPr>
        <w:t>Mr</w:t>
      </w:r>
      <w:proofErr w:type="spellEnd"/>
      <w:r w:rsidR="00CA02A7" w:rsidRPr="00DE3DAA">
        <w:rPr>
          <w:rFonts w:ascii="Times New Roman" w:hAnsi="Times New Roman" w:cs="Times New Roman"/>
          <w:sz w:val="26"/>
          <w:szCs w:val="26"/>
        </w:rPr>
        <w:t xml:space="preserve"> Tony Blair</w:t>
      </w:r>
      <w:r w:rsidR="00B264A3" w:rsidRPr="00DE3DAA">
        <w:rPr>
          <w:rStyle w:val="ae"/>
          <w:rFonts w:ascii="Times New Roman" w:hAnsi="Times New Roman" w:cs="Times New Roman"/>
          <w:sz w:val="26"/>
          <w:szCs w:val="26"/>
        </w:rPr>
        <w:footnoteReference w:id="239"/>
      </w:r>
      <w:r w:rsidR="00CA02A7" w:rsidRPr="00DE3DAA">
        <w:rPr>
          <w:rFonts w:ascii="Times New Roman" w:hAnsi="Times New Roman" w:cs="Times New Roman"/>
          <w:sz w:val="26"/>
          <w:szCs w:val="26"/>
        </w:rPr>
        <w:t xml:space="preserve">. </w:t>
      </w:r>
      <w:r w:rsidR="00944818" w:rsidRPr="00DE3DAA">
        <w:rPr>
          <w:rFonts w:ascii="Times New Roman" w:hAnsi="Times New Roman" w:cs="Times New Roman"/>
          <w:sz w:val="26"/>
          <w:szCs w:val="26"/>
        </w:rPr>
        <w:t xml:space="preserve">For example, </w:t>
      </w:r>
      <w:r w:rsidR="00E85358" w:rsidRPr="00DE3DAA">
        <w:rPr>
          <w:rFonts w:ascii="Times New Roman" w:hAnsi="Times New Roman" w:cs="Times New Roman"/>
          <w:sz w:val="26"/>
          <w:szCs w:val="26"/>
        </w:rPr>
        <w:t>so far as internal</w:t>
      </w:r>
      <w:r w:rsidR="008653D8" w:rsidRPr="00DE3DAA">
        <w:rPr>
          <w:rFonts w:ascii="Times New Roman" w:hAnsi="Times New Roman" w:cs="Times New Roman"/>
          <w:sz w:val="26"/>
          <w:szCs w:val="26"/>
        </w:rPr>
        <w:t xml:space="preserve"> re-structuring which can be referred to job re-</w:t>
      </w:r>
      <w:proofErr w:type="spellStart"/>
      <w:r w:rsidR="008653D8" w:rsidRPr="00DE3DAA">
        <w:rPr>
          <w:rFonts w:ascii="Times New Roman" w:hAnsi="Times New Roman" w:cs="Times New Roman"/>
          <w:sz w:val="26"/>
          <w:szCs w:val="26"/>
        </w:rPr>
        <w:t>organisation</w:t>
      </w:r>
      <w:proofErr w:type="spellEnd"/>
      <w:r w:rsidR="008653D8" w:rsidRPr="00DE3DAA">
        <w:rPr>
          <w:rFonts w:ascii="Times New Roman" w:hAnsi="Times New Roman" w:cs="Times New Roman"/>
          <w:sz w:val="26"/>
          <w:szCs w:val="26"/>
        </w:rPr>
        <w:t xml:space="preserve"> is concerned, more and more sophisticated systems of performance management, appraisal, pecuniary and non-pecuniary incentives, and methods of arranging and remunerating working time have been introduced.</w:t>
      </w:r>
      <w:r w:rsidR="00B264A3" w:rsidRPr="00DE3DAA">
        <w:rPr>
          <w:rStyle w:val="ae"/>
          <w:rFonts w:ascii="Times New Roman" w:hAnsi="Times New Roman" w:cs="Times New Roman"/>
          <w:sz w:val="26"/>
          <w:szCs w:val="26"/>
        </w:rPr>
        <w:footnoteReference w:id="240"/>
      </w:r>
      <w:r w:rsidR="00D634EC" w:rsidRPr="00DE3DAA">
        <w:rPr>
          <w:rFonts w:ascii="Times New Roman" w:hAnsi="Times New Roman" w:cs="Times New Roman"/>
          <w:sz w:val="26"/>
          <w:szCs w:val="26"/>
        </w:rPr>
        <w:t xml:space="preserve"> With regard to </w:t>
      </w:r>
      <w:r w:rsidR="007A649B" w:rsidRPr="00DE3DAA">
        <w:rPr>
          <w:rFonts w:ascii="Times New Roman" w:hAnsi="Times New Roman" w:cs="Times New Roman"/>
          <w:sz w:val="26"/>
          <w:szCs w:val="26"/>
        </w:rPr>
        <w:t>the evolution of external re-structuring</w:t>
      </w:r>
      <w:r w:rsidR="00D634EC" w:rsidRPr="00DE3DAA">
        <w:rPr>
          <w:rFonts w:ascii="Times New Roman" w:hAnsi="Times New Roman" w:cs="Times New Roman"/>
          <w:sz w:val="26"/>
          <w:szCs w:val="26"/>
        </w:rPr>
        <w:t>, it has been noted that</w:t>
      </w:r>
      <w:r w:rsidR="007A649B" w:rsidRPr="00DE3DAA">
        <w:rPr>
          <w:rFonts w:ascii="Times New Roman" w:hAnsi="Times New Roman" w:cs="Times New Roman"/>
          <w:sz w:val="26"/>
          <w:szCs w:val="26"/>
        </w:rPr>
        <w:t xml:space="preserve"> </w:t>
      </w:r>
      <w:r w:rsidR="00EF78B8" w:rsidRPr="00DE3DAA">
        <w:rPr>
          <w:rFonts w:ascii="Times New Roman" w:hAnsi="Times New Roman" w:cs="Times New Roman"/>
          <w:sz w:val="26"/>
          <w:szCs w:val="26"/>
        </w:rPr>
        <w:t>t</w:t>
      </w:r>
      <w:r w:rsidR="0059040D" w:rsidRPr="00DE3DAA">
        <w:rPr>
          <w:rFonts w:ascii="Times New Roman" w:hAnsi="Times New Roman" w:cs="Times New Roman"/>
          <w:sz w:val="26"/>
          <w:szCs w:val="26"/>
        </w:rPr>
        <w:t xml:space="preserve">he development of more complex </w:t>
      </w:r>
      <w:r w:rsidR="0059040D" w:rsidRPr="00DE3DAA">
        <w:rPr>
          <w:rFonts w:ascii="Times New Roman" w:hAnsi="Times New Roman" w:cs="Times New Roman"/>
          <w:sz w:val="26"/>
          <w:szCs w:val="26"/>
        </w:rPr>
        <w:lastRenderedPageBreak/>
        <w:t>organizational forms-such as cross-</w:t>
      </w:r>
      <w:proofErr w:type="spellStart"/>
      <w:r w:rsidR="0059040D" w:rsidRPr="00DE3DAA">
        <w:rPr>
          <w:rFonts w:ascii="Times New Roman" w:hAnsi="Times New Roman" w:cs="Times New Roman"/>
          <w:sz w:val="26"/>
          <w:szCs w:val="26"/>
        </w:rPr>
        <w:t>organisation</w:t>
      </w:r>
      <w:proofErr w:type="spellEnd"/>
      <w:r w:rsidR="0059040D" w:rsidRPr="00DE3DAA">
        <w:rPr>
          <w:rFonts w:ascii="Times New Roman" w:hAnsi="Times New Roman" w:cs="Times New Roman"/>
          <w:sz w:val="26"/>
          <w:szCs w:val="26"/>
        </w:rPr>
        <w:t xml:space="preserve"> networking partnerships, alliances, use of</w:t>
      </w:r>
      <w:r w:rsidR="00EF78B8" w:rsidRPr="00DE3DAA">
        <w:rPr>
          <w:rFonts w:ascii="Times New Roman" w:hAnsi="Times New Roman" w:cs="Times New Roman"/>
          <w:sz w:val="26"/>
          <w:szCs w:val="26"/>
        </w:rPr>
        <w:t xml:space="preserve"> external agencies for core as well as peripheral activities, multi-employer sites and the blurring of the public/private sector divide-has implications for both a legal and the socially constituted nature of the employment relationship.</w:t>
      </w:r>
      <w:r w:rsidR="00B264A3" w:rsidRPr="00DE3DAA">
        <w:rPr>
          <w:rStyle w:val="ae"/>
          <w:rFonts w:ascii="Times New Roman" w:hAnsi="Times New Roman" w:cs="Times New Roman"/>
          <w:sz w:val="26"/>
          <w:szCs w:val="26"/>
        </w:rPr>
        <w:footnoteReference w:id="241"/>
      </w:r>
      <w:r w:rsidR="008469FC" w:rsidRPr="00DE3DAA">
        <w:rPr>
          <w:rFonts w:ascii="Times New Roman" w:hAnsi="Times New Roman" w:cs="Times New Roman"/>
          <w:sz w:val="26"/>
          <w:szCs w:val="26"/>
        </w:rPr>
        <w:t xml:space="preserve"> There is also evidence of similar elaboration of internal employment structures within many employing enterprises and corporate groups, involving many variants on a theme of creation and re-</w:t>
      </w:r>
      <w:proofErr w:type="spellStart"/>
      <w:r w:rsidR="008469FC" w:rsidRPr="00DE3DAA">
        <w:rPr>
          <w:rFonts w:ascii="Times New Roman" w:hAnsi="Times New Roman" w:cs="Times New Roman"/>
          <w:sz w:val="26"/>
          <w:szCs w:val="26"/>
        </w:rPr>
        <w:t>organisation</w:t>
      </w:r>
      <w:proofErr w:type="spellEnd"/>
      <w:r w:rsidR="008469FC" w:rsidRPr="00DE3DAA">
        <w:rPr>
          <w:rFonts w:ascii="Times New Roman" w:hAnsi="Times New Roman" w:cs="Times New Roman"/>
          <w:sz w:val="26"/>
          <w:szCs w:val="26"/>
        </w:rPr>
        <w:t xml:space="preserve"> of internal agencies or profit </w:t>
      </w:r>
      <w:proofErr w:type="spellStart"/>
      <w:r w:rsidR="008469FC" w:rsidRPr="00DE3DAA">
        <w:rPr>
          <w:rFonts w:ascii="Times New Roman" w:hAnsi="Times New Roman" w:cs="Times New Roman"/>
          <w:sz w:val="26"/>
          <w:szCs w:val="26"/>
        </w:rPr>
        <w:t>centres</w:t>
      </w:r>
      <w:proofErr w:type="spellEnd"/>
      <w:r w:rsidR="008469FC" w:rsidRPr="00DE3DAA">
        <w:rPr>
          <w:rFonts w:ascii="Times New Roman" w:hAnsi="Times New Roman" w:cs="Times New Roman"/>
          <w:sz w:val="26"/>
          <w:szCs w:val="26"/>
        </w:rPr>
        <w:t xml:space="preserve"> or units or divisions of accounting and accountability.</w:t>
      </w:r>
      <w:r w:rsidR="00B264A3" w:rsidRPr="00DE3DAA">
        <w:rPr>
          <w:rStyle w:val="ae"/>
          <w:rFonts w:ascii="Times New Roman" w:hAnsi="Times New Roman" w:cs="Times New Roman"/>
          <w:sz w:val="26"/>
          <w:szCs w:val="26"/>
        </w:rPr>
        <w:footnoteReference w:id="242"/>
      </w:r>
      <w:r w:rsidR="00271D10" w:rsidRPr="00DE3DAA">
        <w:rPr>
          <w:rFonts w:ascii="Times New Roman" w:hAnsi="Times New Roman" w:cs="Times New Roman"/>
          <w:sz w:val="26"/>
          <w:szCs w:val="26"/>
        </w:rPr>
        <w:t xml:space="preserve"> </w:t>
      </w:r>
      <w:r w:rsidR="008C7DCC" w:rsidRPr="00DE3DAA">
        <w:rPr>
          <w:rFonts w:ascii="Times New Roman" w:hAnsi="Times New Roman" w:cs="Times New Roman"/>
          <w:sz w:val="26"/>
          <w:szCs w:val="26"/>
        </w:rPr>
        <w:t>The other trend in personal work relations during the time would be that of de-</w:t>
      </w:r>
      <w:proofErr w:type="spellStart"/>
      <w:r w:rsidR="008C7DCC" w:rsidRPr="00DE3DAA">
        <w:rPr>
          <w:rFonts w:ascii="Times New Roman" w:hAnsi="Times New Roman" w:cs="Times New Roman"/>
          <w:sz w:val="26"/>
          <w:szCs w:val="26"/>
        </w:rPr>
        <w:t>collectivisation</w:t>
      </w:r>
      <w:proofErr w:type="spellEnd"/>
      <w:r w:rsidR="008C7DCC" w:rsidRPr="00DE3DAA">
        <w:rPr>
          <w:rFonts w:ascii="Times New Roman" w:hAnsi="Times New Roman" w:cs="Times New Roman"/>
          <w:sz w:val="26"/>
          <w:szCs w:val="26"/>
        </w:rPr>
        <w:t xml:space="preserve"> or de-</w:t>
      </w:r>
      <w:proofErr w:type="spellStart"/>
      <w:r w:rsidR="008C7DCC" w:rsidRPr="00DE3DAA">
        <w:rPr>
          <w:rFonts w:ascii="Times New Roman" w:hAnsi="Times New Roman" w:cs="Times New Roman"/>
          <w:sz w:val="26"/>
          <w:szCs w:val="26"/>
        </w:rPr>
        <w:t>unionisation</w:t>
      </w:r>
      <w:proofErr w:type="spellEnd"/>
      <w:r w:rsidR="008C7DCC" w:rsidRPr="00DE3DAA">
        <w:rPr>
          <w:rFonts w:ascii="Times New Roman" w:hAnsi="Times New Roman" w:cs="Times New Roman"/>
          <w:sz w:val="26"/>
          <w:szCs w:val="26"/>
        </w:rPr>
        <w:t>.</w:t>
      </w:r>
      <w:r w:rsidR="00B264A3" w:rsidRPr="00DE3DAA">
        <w:rPr>
          <w:rStyle w:val="ae"/>
          <w:rFonts w:ascii="Times New Roman" w:hAnsi="Times New Roman" w:cs="Times New Roman"/>
          <w:sz w:val="26"/>
          <w:szCs w:val="26"/>
        </w:rPr>
        <w:footnoteReference w:id="243"/>
      </w:r>
      <w:r w:rsidR="008C7DCC" w:rsidRPr="00DE3DAA">
        <w:rPr>
          <w:rFonts w:ascii="Times New Roman" w:hAnsi="Times New Roman" w:cs="Times New Roman"/>
          <w:sz w:val="26"/>
          <w:szCs w:val="26"/>
        </w:rPr>
        <w:t xml:space="preserve"> </w:t>
      </w:r>
      <w:r w:rsidR="007133F9" w:rsidRPr="00DE3DAA">
        <w:rPr>
          <w:rFonts w:ascii="Times New Roman" w:hAnsi="Times New Roman" w:cs="Times New Roman"/>
          <w:sz w:val="26"/>
          <w:szCs w:val="26"/>
        </w:rPr>
        <w:t xml:space="preserve"> </w:t>
      </w:r>
      <w:r w:rsidR="009D3A91" w:rsidRPr="00DE3DAA">
        <w:rPr>
          <w:rFonts w:ascii="Times New Roman" w:hAnsi="Times New Roman" w:cs="Times New Roman"/>
          <w:sz w:val="26"/>
          <w:szCs w:val="26"/>
        </w:rPr>
        <w:t>The de-</w:t>
      </w:r>
      <w:proofErr w:type="spellStart"/>
      <w:r w:rsidR="009D3A91" w:rsidRPr="00DE3DAA">
        <w:rPr>
          <w:rFonts w:ascii="Times New Roman" w:hAnsi="Times New Roman" w:cs="Times New Roman"/>
          <w:sz w:val="26"/>
          <w:szCs w:val="26"/>
        </w:rPr>
        <w:t>collectivisation</w:t>
      </w:r>
      <w:proofErr w:type="spellEnd"/>
      <w:r w:rsidR="009D3A91" w:rsidRPr="00DE3DAA">
        <w:rPr>
          <w:rFonts w:ascii="Times New Roman" w:hAnsi="Times New Roman" w:cs="Times New Roman"/>
          <w:sz w:val="26"/>
          <w:szCs w:val="26"/>
        </w:rPr>
        <w:t xml:space="preserve"> or de-</w:t>
      </w:r>
      <w:proofErr w:type="spellStart"/>
      <w:r w:rsidR="009D3A91" w:rsidRPr="00DE3DAA">
        <w:rPr>
          <w:rFonts w:ascii="Times New Roman" w:hAnsi="Times New Roman" w:cs="Times New Roman"/>
          <w:sz w:val="26"/>
          <w:szCs w:val="26"/>
        </w:rPr>
        <w:t>unionisation</w:t>
      </w:r>
      <w:proofErr w:type="spellEnd"/>
      <w:r w:rsidR="009D3A91" w:rsidRPr="00DE3DAA">
        <w:rPr>
          <w:rFonts w:ascii="Times New Roman" w:hAnsi="Times New Roman" w:cs="Times New Roman"/>
          <w:sz w:val="26"/>
          <w:szCs w:val="26"/>
        </w:rPr>
        <w:t xml:space="preserve"> has been well-documented and carefully analysis through its evolutions in the 1980s, its continuation in the 1990s, and its halting or even partial reversal from the end of the 1990s</w:t>
      </w:r>
      <w:r w:rsidR="00FA438D" w:rsidRPr="00DE3DAA">
        <w:rPr>
          <w:rFonts w:ascii="Times New Roman" w:hAnsi="Times New Roman" w:cs="Times New Roman"/>
          <w:sz w:val="26"/>
          <w:szCs w:val="26"/>
        </w:rPr>
        <w:t>, but</w:t>
      </w:r>
      <w:r w:rsidR="002F74EB" w:rsidRPr="00DE3DAA">
        <w:rPr>
          <w:rFonts w:ascii="Times New Roman" w:hAnsi="Times New Roman" w:cs="Times New Roman"/>
          <w:sz w:val="26"/>
          <w:szCs w:val="26"/>
        </w:rPr>
        <w:t xml:space="preserve"> the analysis has been significantly shaped by its commitment to a concept or paradigm of </w:t>
      </w:r>
      <w:r w:rsidR="004646C5" w:rsidRPr="00DE3DAA">
        <w:rPr>
          <w:rFonts w:ascii="Times New Roman" w:hAnsi="Times New Roman" w:cs="Times New Roman"/>
          <w:sz w:val="26"/>
          <w:szCs w:val="26"/>
        </w:rPr>
        <w:t>‘</w:t>
      </w:r>
      <w:proofErr w:type="spellStart"/>
      <w:r w:rsidR="004646C5" w:rsidRPr="00DE3DAA">
        <w:rPr>
          <w:rFonts w:ascii="Times New Roman" w:hAnsi="Times New Roman" w:cs="Times New Roman"/>
          <w:sz w:val="26"/>
          <w:szCs w:val="26"/>
        </w:rPr>
        <w:t>individuali</w:t>
      </w:r>
      <w:r w:rsidR="00FA438D" w:rsidRPr="00DE3DAA">
        <w:rPr>
          <w:rFonts w:ascii="Times New Roman" w:hAnsi="Times New Roman" w:cs="Times New Roman"/>
          <w:sz w:val="26"/>
          <w:szCs w:val="26"/>
        </w:rPr>
        <w:t>sation</w:t>
      </w:r>
      <w:proofErr w:type="spellEnd"/>
      <w:r w:rsidR="00FA438D" w:rsidRPr="00DE3DAA">
        <w:rPr>
          <w:rFonts w:ascii="Times New Roman" w:hAnsi="Times New Roman" w:cs="Times New Roman"/>
          <w:sz w:val="26"/>
          <w:szCs w:val="26"/>
        </w:rPr>
        <w:t>’ as the counterpart or outcome of de-</w:t>
      </w:r>
      <w:proofErr w:type="spellStart"/>
      <w:r w:rsidR="00FA438D" w:rsidRPr="00DE3DAA">
        <w:rPr>
          <w:rFonts w:ascii="Times New Roman" w:hAnsi="Times New Roman" w:cs="Times New Roman"/>
          <w:sz w:val="26"/>
          <w:szCs w:val="26"/>
        </w:rPr>
        <w:t>collectivisation</w:t>
      </w:r>
      <w:proofErr w:type="spellEnd"/>
      <w:r w:rsidR="00FA438D" w:rsidRPr="00DE3DAA">
        <w:rPr>
          <w:rFonts w:ascii="Times New Roman" w:hAnsi="Times New Roman" w:cs="Times New Roman"/>
          <w:sz w:val="26"/>
          <w:szCs w:val="26"/>
        </w:rPr>
        <w:t>.</w:t>
      </w:r>
      <w:r w:rsidR="00B264A3" w:rsidRPr="00DE3DAA">
        <w:rPr>
          <w:rStyle w:val="ae"/>
          <w:rFonts w:ascii="Times New Roman" w:hAnsi="Times New Roman" w:cs="Times New Roman"/>
          <w:sz w:val="26"/>
          <w:szCs w:val="26"/>
        </w:rPr>
        <w:footnoteReference w:id="244"/>
      </w:r>
      <w:r w:rsidR="002E24DA" w:rsidRPr="00DE3DAA">
        <w:rPr>
          <w:rFonts w:ascii="Times New Roman" w:hAnsi="Times New Roman" w:cs="Times New Roman"/>
          <w:sz w:val="26"/>
          <w:szCs w:val="26"/>
        </w:rPr>
        <w:t xml:space="preserve"> </w:t>
      </w:r>
      <w:r w:rsidR="002A6C74" w:rsidRPr="00DE3DAA">
        <w:rPr>
          <w:rFonts w:ascii="Times New Roman" w:hAnsi="Times New Roman" w:cs="Times New Roman"/>
          <w:sz w:val="26"/>
          <w:szCs w:val="26"/>
        </w:rPr>
        <w:t>I</w:t>
      </w:r>
      <w:r w:rsidR="00B14740" w:rsidRPr="00DE3DAA">
        <w:rPr>
          <w:rFonts w:ascii="Times New Roman" w:hAnsi="Times New Roman" w:cs="Times New Roman"/>
          <w:sz w:val="26"/>
          <w:szCs w:val="26"/>
        </w:rPr>
        <w:t xml:space="preserve">n terms of </w:t>
      </w:r>
      <w:proofErr w:type="spellStart"/>
      <w:r w:rsidR="00B14740" w:rsidRPr="00DE3DAA">
        <w:rPr>
          <w:rFonts w:ascii="Times New Roman" w:hAnsi="Times New Roman" w:cs="Times New Roman"/>
          <w:sz w:val="26"/>
          <w:szCs w:val="26"/>
        </w:rPr>
        <w:t>labour</w:t>
      </w:r>
      <w:proofErr w:type="spellEnd"/>
      <w:r w:rsidR="00B14740" w:rsidRPr="00DE3DAA">
        <w:rPr>
          <w:rFonts w:ascii="Times New Roman" w:hAnsi="Times New Roman" w:cs="Times New Roman"/>
          <w:sz w:val="26"/>
          <w:szCs w:val="26"/>
        </w:rPr>
        <w:t xml:space="preserve"> relations, it </w:t>
      </w:r>
      <w:r w:rsidR="002A6C74" w:rsidRPr="00DE3DAA">
        <w:rPr>
          <w:rFonts w:ascii="Times New Roman" w:hAnsi="Times New Roman" w:cs="Times New Roman"/>
          <w:sz w:val="26"/>
          <w:szCs w:val="26"/>
        </w:rPr>
        <w:t>can be</w:t>
      </w:r>
      <w:r w:rsidR="00B14740" w:rsidRPr="00DE3DAA">
        <w:rPr>
          <w:rFonts w:ascii="Times New Roman" w:hAnsi="Times New Roman" w:cs="Times New Roman"/>
          <w:sz w:val="26"/>
          <w:szCs w:val="26"/>
        </w:rPr>
        <w:t xml:space="preserve"> noted</w:t>
      </w:r>
      <w:r w:rsidR="002A6C74" w:rsidRPr="00DE3DAA">
        <w:rPr>
          <w:rFonts w:ascii="Times New Roman" w:hAnsi="Times New Roman" w:cs="Times New Roman"/>
          <w:sz w:val="26"/>
          <w:szCs w:val="26"/>
        </w:rPr>
        <w:t xml:space="preserve"> that t</w:t>
      </w:r>
      <w:r w:rsidR="00CA4213" w:rsidRPr="00DE3DAA">
        <w:rPr>
          <w:rFonts w:ascii="Times New Roman" w:hAnsi="Times New Roman" w:cs="Times New Roman"/>
          <w:sz w:val="26"/>
          <w:szCs w:val="26"/>
        </w:rPr>
        <w:t>his paradigm</w:t>
      </w:r>
      <w:r w:rsidR="002E24DA" w:rsidRPr="00DE3DAA">
        <w:rPr>
          <w:rFonts w:ascii="Times New Roman" w:hAnsi="Times New Roman" w:cs="Times New Roman"/>
          <w:sz w:val="26"/>
          <w:szCs w:val="26"/>
        </w:rPr>
        <w:t xml:space="preserve"> of ‘</w:t>
      </w:r>
      <w:proofErr w:type="spellStart"/>
      <w:r w:rsidR="002E24DA" w:rsidRPr="00DE3DAA">
        <w:rPr>
          <w:rFonts w:ascii="Times New Roman" w:hAnsi="Times New Roman" w:cs="Times New Roman"/>
          <w:sz w:val="26"/>
          <w:szCs w:val="26"/>
        </w:rPr>
        <w:t>individualisation</w:t>
      </w:r>
      <w:proofErr w:type="spellEnd"/>
      <w:r w:rsidR="002E24DA" w:rsidRPr="00DE3DAA">
        <w:rPr>
          <w:rFonts w:ascii="Times New Roman" w:hAnsi="Times New Roman" w:cs="Times New Roman"/>
          <w:sz w:val="26"/>
          <w:szCs w:val="26"/>
        </w:rPr>
        <w:t>’</w:t>
      </w:r>
      <w:r w:rsidR="00712897" w:rsidRPr="00DE3DAA">
        <w:rPr>
          <w:rFonts w:ascii="Times New Roman" w:hAnsi="Times New Roman" w:cs="Times New Roman"/>
          <w:sz w:val="26"/>
          <w:szCs w:val="26"/>
        </w:rPr>
        <w:t xml:space="preserve"> inevitably induces a consciousness that the purpose of effect of de-</w:t>
      </w:r>
      <w:proofErr w:type="spellStart"/>
      <w:r w:rsidR="00712897" w:rsidRPr="00DE3DAA">
        <w:rPr>
          <w:rFonts w:ascii="Times New Roman" w:hAnsi="Times New Roman" w:cs="Times New Roman"/>
          <w:sz w:val="26"/>
          <w:szCs w:val="26"/>
        </w:rPr>
        <w:t>unionisation</w:t>
      </w:r>
      <w:proofErr w:type="spellEnd"/>
      <w:r w:rsidR="00712897" w:rsidRPr="00DE3DAA">
        <w:rPr>
          <w:rFonts w:ascii="Times New Roman" w:hAnsi="Times New Roman" w:cs="Times New Roman"/>
          <w:sz w:val="26"/>
          <w:szCs w:val="26"/>
        </w:rPr>
        <w:t xml:space="preserve"> is to make way for personal work relations which are more than previously varied between one worker and another even within a single employing enterprise.</w:t>
      </w:r>
      <w:r w:rsidR="00B264A3" w:rsidRPr="00DE3DAA">
        <w:rPr>
          <w:rStyle w:val="ae"/>
          <w:rFonts w:ascii="Times New Roman" w:hAnsi="Times New Roman" w:cs="Times New Roman"/>
          <w:sz w:val="26"/>
          <w:szCs w:val="26"/>
        </w:rPr>
        <w:footnoteReference w:id="245"/>
      </w:r>
      <w:r w:rsidR="00712897" w:rsidRPr="00DE3DAA">
        <w:rPr>
          <w:rFonts w:ascii="Times New Roman" w:hAnsi="Times New Roman" w:cs="Times New Roman"/>
          <w:sz w:val="26"/>
          <w:szCs w:val="26"/>
        </w:rPr>
        <w:t xml:space="preserve"> </w:t>
      </w:r>
      <w:r w:rsidR="002A6C74" w:rsidRPr="00DE3DAA">
        <w:rPr>
          <w:rFonts w:ascii="Times New Roman" w:hAnsi="Times New Roman" w:cs="Times New Roman"/>
          <w:sz w:val="26"/>
          <w:szCs w:val="26"/>
        </w:rPr>
        <w:t>On the other hand, s</w:t>
      </w:r>
      <w:r w:rsidR="00EC00ED" w:rsidRPr="00DE3DAA">
        <w:rPr>
          <w:rFonts w:ascii="Times New Roman" w:hAnsi="Times New Roman" w:cs="Times New Roman"/>
          <w:sz w:val="26"/>
          <w:szCs w:val="26"/>
        </w:rPr>
        <w:t xml:space="preserve">ome analysts </w:t>
      </w:r>
      <w:r w:rsidR="002A6C74" w:rsidRPr="00DE3DAA">
        <w:rPr>
          <w:rFonts w:ascii="Times New Roman" w:hAnsi="Times New Roman" w:cs="Times New Roman"/>
          <w:sz w:val="26"/>
          <w:szCs w:val="26"/>
        </w:rPr>
        <w:t>put forward</w:t>
      </w:r>
      <w:r w:rsidR="00B14740" w:rsidRPr="00DE3DAA">
        <w:rPr>
          <w:rFonts w:ascii="Times New Roman" w:hAnsi="Times New Roman" w:cs="Times New Roman"/>
          <w:sz w:val="26"/>
          <w:szCs w:val="26"/>
        </w:rPr>
        <w:t xml:space="preserve"> </w:t>
      </w:r>
      <w:r w:rsidR="00EC00ED" w:rsidRPr="00DE3DAA">
        <w:rPr>
          <w:rFonts w:ascii="Times New Roman" w:hAnsi="Times New Roman" w:cs="Times New Roman"/>
          <w:sz w:val="26"/>
          <w:szCs w:val="26"/>
        </w:rPr>
        <w:t>that de-</w:t>
      </w:r>
      <w:proofErr w:type="spellStart"/>
      <w:r w:rsidR="00EC00ED" w:rsidRPr="00DE3DAA">
        <w:rPr>
          <w:rFonts w:ascii="Times New Roman" w:hAnsi="Times New Roman" w:cs="Times New Roman"/>
          <w:sz w:val="26"/>
          <w:szCs w:val="26"/>
        </w:rPr>
        <w:t>collectivisation</w:t>
      </w:r>
      <w:proofErr w:type="spellEnd"/>
      <w:r w:rsidR="00EC00ED" w:rsidRPr="00DE3DAA">
        <w:rPr>
          <w:rFonts w:ascii="Times New Roman" w:hAnsi="Times New Roman" w:cs="Times New Roman"/>
          <w:sz w:val="26"/>
          <w:szCs w:val="26"/>
        </w:rPr>
        <w:t xml:space="preserve"> is certainly not inimical, and may even be conducive, to the evolution of contracts of employment as standard form contracts, in the sense of </w:t>
      </w:r>
      <w:proofErr w:type="spellStart"/>
      <w:r w:rsidR="002436B9" w:rsidRPr="00DE3DAA">
        <w:rPr>
          <w:rFonts w:ascii="Times New Roman" w:hAnsi="Times New Roman" w:cs="Times New Roman"/>
          <w:i/>
          <w:sz w:val="26"/>
          <w:szCs w:val="26"/>
        </w:rPr>
        <w:t>contrats</w:t>
      </w:r>
      <w:proofErr w:type="spellEnd"/>
      <w:r w:rsidR="002436B9" w:rsidRPr="00DE3DAA">
        <w:rPr>
          <w:rFonts w:ascii="Times New Roman" w:hAnsi="Times New Roman" w:cs="Times New Roman"/>
          <w:i/>
          <w:sz w:val="26"/>
          <w:szCs w:val="26"/>
        </w:rPr>
        <w:t xml:space="preserve"> </w:t>
      </w:r>
      <w:proofErr w:type="spellStart"/>
      <w:r w:rsidR="002436B9" w:rsidRPr="00DE3DAA">
        <w:rPr>
          <w:rFonts w:ascii="Times New Roman" w:hAnsi="Times New Roman" w:cs="Times New Roman"/>
          <w:i/>
          <w:sz w:val="26"/>
          <w:szCs w:val="26"/>
        </w:rPr>
        <w:t>d’adh</w:t>
      </w:r>
      <w:r w:rsidR="002436B9" w:rsidRPr="00DE3DAA">
        <w:rPr>
          <w:rFonts w:ascii="Times New Roman" w:eastAsia="맑은 고딕" w:hAnsi="Times New Roman" w:cs="Times New Roman"/>
          <w:i/>
          <w:sz w:val="26"/>
          <w:szCs w:val="26"/>
        </w:rPr>
        <w:t>é</w:t>
      </w:r>
      <w:r w:rsidR="002436B9" w:rsidRPr="00DE3DAA">
        <w:rPr>
          <w:rFonts w:ascii="Times New Roman" w:hAnsi="Times New Roman" w:cs="Times New Roman"/>
          <w:i/>
          <w:sz w:val="26"/>
          <w:szCs w:val="26"/>
        </w:rPr>
        <w:t>sion</w:t>
      </w:r>
      <w:proofErr w:type="spellEnd"/>
      <w:r w:rsidR="002436B9" w:rsidRPr="00DE3DAA">
        <w:rPr>
          <w:rFonts w:ascii="Times New Roman" w:hAnsi="Times New Roman" w:cs="Times New Roman"/>
          <w:sz w:val="26"/>
          <w:szCs w:val="26"/>
        </w:rPr>
        <w:t xml:space="preserve">, </w:t>
      </w:r>
      <w:r w:rsidR="002A6C74" w:rsidRPr="00DE3DAA">
        <w:rPr>
          <w:rFonts w:ascii="Times New Roman" w:hAnsi="Times New Roman" w:cs="Times New Roman"/>
          <w:sz w:val="26"/>
          <w:szCs w:val="26"/>
        </w:rPr>
        <w:t>which means</w:t>
      </w:r>
      <w:r w:rsidR="002436B9" w:rsidRPr="00DE3DAA">
        <w:rPr>
          <w:rFonts w:ascii="Times New Roman" w:hAnsi="Times New Roman" w:cs="Times New Roman"/>
          <w:sz w:val="26"/>
          <w:szCs w:val="26"/>
        </w:rPr>
        <w:t xml:space="preserve"> highly specified and formalized contracts </w:t>
      </w:r>
      <w:r w:rsidR="002436B9" w:rsidRPr="00DE3DAA">
        <w:rPr>
          <w:rFonts w:ascii="Times New Roman" w:hAnsi="Times New Roman" w:cs="Times New Roman"/>
          <w:sz w:val="26"/>
          <w:szCs w:val="26"/>
        </w:rPr>
        <w:lastRenderedPageBreak/>
        <w:t>proposed by management which workers may accept or reject, but the terms of which are not open to negotiation.</w:t>
      </w:r>
      <w:r w:rsidR="00B264A3" w:rsidRPr="00DE3DAA">
        <w:rPr>
          <w:rStyle w:val="ae"/>
          <w:rFonts w:ascii="Times New Roman" w:hAnsi="Times New Roman" w:cs="Times New Roman"/>
          <w:sz w:val="26"/>
          <w:szCs w:val="26"/>
        </w:rPr>
        <w:footnoteReference w:id="246"/>
      </w:r>
      <w:r w:rsidR="003F79C7" w:rsidRPr="00DE3DAA">
        <w:rPr>
          <w:rFonts w:ascii="Times New Roman" w:hAnsi="Times New Roman" w:cs="Times New Roman"/>
          <w:sz w:val="26"/>
          <w:szCs w:val="26"/>
        </w:rPr>
        <w:t xml:space="preserve"> </w:t>
      </w:r>
      <w:r w:rsidR="00E83E64" w:rsidRPr="00DE3DAA">
        <w:rPr>
          <w:rFonts w:ascii="Times New Roman" w:hAnsi="Times New Roman" w:cs="Times New Roman"/>
          <w:sz w:val="26"/>
          <w:szCs w:val="26"/>
        </w:rPr>
        <w:t xml:space="preserve">It could also be </w:t>
      </w:r>
      <w:proofErr w:type="spellStart"/>
      <w:r w:rsidR="00E83E64" w:rsidRPr="00DE3DAA">
        <w:rPr>
          <w:rFonts w:ascii="Times New Roman" w:hAnsi="Times New Roman" w:cs="Times New Roman"/>
          <w:sz w:val="26"/>
          <w:szCs w:val="26"/>
        </w:rPr>
        <w:t>analysed</w:t>
      </w:r>
      <w:proofErr w:type="spellEnd"/>
      <w:r w:rsidR="00E83E64" w:rsidRPr="00DE3DAA">
        <w:rPr>
          <w:rFonts w:ascii="Times New Roman" w:hAnsi="Times New Roman" w:cs="Times New Roman"/>
          <w:sz w:val="26"/>
          <w:szCs w:val="26"/>
        </w:rPr>
        <w:t xml:space="preserve"> that the centrally significant effect of de-</w:t>
      </w:r>
      <w:proofErr w:type="spellStart"/>
      <w:r w:rsidR="00E83E64" w:rsidRPr="00DE3DAA">
        <w:rPr>
          <w:rFonts w:ascii="Times New Roman" w:hAnsi="Times New Roman" w:cs="Times New Roman"/>
          <w:sz w:val="26"/>
          <w:szCs w:val="26"/>
        </w:rPr>
        <w:t>collectivisation</w:t>
      </w:r>
      <w:proofErr w:type="spellEnd"/>
      <w:r w:rsidR="00E83E64" w:rsidRPr="00DE3DAA">
        <w:rPr>
          <w:rFonts w:ascii="Times New Roman" w:hAnsi="Times New Roman" w:cs="Times New Roman"/>
          <w:sz w:val="26"/>
          <w:szCs w:val="26"/>
        </w:rPr>
        <w:t xml:space="preserve"> is to increase the freedom of the employing enterprise, both in a procedural a substantive sense, to engage in re-</w:t>
      </w:r>
      <w:proofErr w:type="spellStart"/>
      <w:r w:rsidR="00E83E64" w:rsidRPr="00DE3DAA">
        <w:rPr>
          <w:rFonts w:ascii="Times New Roman" w:hAnsi="Times New Roman" w:cs="Times New Roman"/>
          <w:sz w:val="26"/>
          <w:szCs w:val="26"/>
        </w:rPr>
        <w:t>organisation</w:t>
      </w:r>
      <w:proofErr w:type="spellEnd"/>
      <w:r w:rsidR="00E83E64" w:rsidRPr="00DE3DAA">
        <w:rPr>
          <w:rFonts w:ascii="Times New Roman" w:hAnsi="Times New Roman" w:cs="Times New Roman"/>
          <w:sz w:val="26"/>
          <w:szCs w:val="26"/>
        </w:rPr>
        <w:t xml:space="preserve"> of personal work relations, that is to say, to engage in either job re-structuring or institutional re-structuring or both.</w:t>
      </w:r>
      <w:r w:rsidR="00B264A3" w:rsidRPr="00DE3DAA">
        <w:rPr>
          <w:rStyle w:val="ae"/>
          <w:rFonts w:ascii="Times New Roman" w:hAnsi="Times New Roman" w:cs="Times New Roman"/>
          <w:sz w:val="26"/>
          <w:szCs w:val="26"/>
        </w:rPr>
        <w:footnoteReference w:id="247"/>
      </w:r>
      <w:r w:rsidR="00E83E64" w:rsidRPr="00DE3DAA">
        <w:rPr>
          <w:rFonts w:ascii="Times New Roman" w:hAnsi="Times New Roman" w:cs="Times New Roman"/>
          <w:sz w:val="26"/>
          <w:szCs w:val="26"/>
        </w:rPr>
        <w:t xml:space="preserve"> That is, the overall effect of de-</w:t>
      </w:r>
      <w:proofErr w:type="spellStart"/>
      <w:r w:rsidR="00E83E64" w:rsidRPr="00DE3DAA">
        <w:rPr>
          <w:rFonts w:ascii="Times New Roman" w:hAnsi="Times New Roman" w:cs="Times New Roman"/>
          <w:sz w:val="26"/>
          <w:szCs w:val="26"/>
        </w:rPr>
        <w:t>collectivisation</w:t>
      </w:r>
      <w:proofErr w:type="spellEnd"/>
      <w:r w:rsidR="00E83E64" w:rsidRPr="00DE3DAA">
        <w:rPr>
          <w:rFonts w:ascii="Times New Roman" w:hAnsi="Times New Roman" w:cs="Times New Roman"/>
          <w:sz w:val="26"/>
          <w:szCs w:val="26"/>
        </w:rPr>
        <w:t xml:space="preserve"> is to facilitate and contribute to a trend towards frequent and often fundamental re-contracting of personal work relations-a dynamic which can be identified as that of ‘managerial flexibility’ or ‘managerial adap</w:t>
      </w:r>
      <w:r w:rsidR="006E48D2" w:rsidRPr="00DE3DAA">
        <w:rPr>
          <w:rFonts w:ascii="Times New Roman" w:hAnsi="Times New Roman" w:cs="Times New Roman"/>
          <w:sz w:val="26"/>
          <w:szCs w:val="26"/>
        </w:rPr>
        <w:t>t</w:t>
      </w:r>
      <w:r w:rsidR="00E83E64" w:rsidRPr="00DE3DAA">
        <w:rPr>
          <w:rFonts w:ascii="Times New Roman" w:hAnsi="Times New Roman" w:cs="Times New Roman"/>
          <w:sz w:val="26"/>
          <w:szCs w:val="26"/>
        </w:rPr>
        <w:t>ability’.</w:t>
      </w:r>
      <w:r w:rsidR="00B264A3" w:rsidRPr="00DE3DAA">
        <w:rPr>
          <w:rStyle w:val="ae"/>
          <w:rFonts w:ascii="Times New Roman" w:hAnsi="Times New Roman" w:cs="Times New Roman"/>
          <w:sz w:val="26"/>
          <w:szCs w:val="26"/>
        </w:rPr>
        <w:footnoteReference w:id="248"/>
      </w:r>
      <w:r w:rsidR="007B2240" w:rsidRPr="00DE3DAA">
        <w:rPr>
          <w:rFonts w:ascii="Times New Roman" w:hAnsi="Times New Roman" w:cs="Times New Roman"/>
          <w:sz w:val="26"/>
          <w:szCs w:val="26"/>
        </w:rPr>
        <w:t xml:space="preserve"> </w:t>
      </w:r>
      <w:r w:rsidR="00D63AF0" w:rsidRPr="00DE3DAA">
        <w:rPr>
          <w:rFonts w:ascii="Times New Roman" w:hAnsi="Times New Roman" w:cs="Times New Roman"/>
          <w:sz w:val="26"/>
          <w:szCs w:val="26"/>
        </w:rPr>
        <w:t xml:space="preserve">The concept of managerial flexibility describes the capacity of, and the </w:t>
      </w:r>
      <w:r w:rsidR="00565C24" w:rsidRPr="00DE3DAA">
        <w:rPr>
          <w:rFonts w:ascii="Times New Roman" w:hAnsi="Times New Roman" w:cs="Times New Roman"/>
          <w:sz w:val="26"/>
          <w:szCs w:val="26"/>
        </w:rPr>
        <w:t>tendency</w:t>
      </w:r>
      <w:r w:rsidR="00D63AF0" w:rsidRPr="00DE3DAA">
        <w:rPr>
          <w:rFonts w:ascii="Times New Roman" w:hAnsi="Times New Roman" w:cs="Times New Roman"/>
          <w:sz w:val="26"/>
          <w:szCs w:val="26"/>
        </w:rPr>
        <w:t xml:space="preserve"> for, </w:t>
      </w:r>
      <w:r w:rsidR="00565C24" w:rsidRPr="00DE3DAA">
        <w:rPr>
          <w:rFonts w:ascii="Times New Roman" w:hAnsi="Times New Roman" w:cs="Times New Roman"/>
          <w:sz w:val="26"/>
          <w:szCs w:val="26"/>
        </w:rPr>
        <w:t>employing enterprises to engage in job re-structuring and institutional re-structuring.</w:t>
      </w:r>
      <w:r w:rsidR="00B264A3" w:rsidRPr="00DE3DAA">
        <w:rPr>
          <w:rStyle w:val="ae"/>
          <w:rFonts w:ascii="Times New Roman" w:hAnsi="Times New Roman" w:cs="Times New Roman"/>
          <w:sz w:val="26"/>
          <w:szCs w:val="26"/>
        </w:rPr>
        <w:footnoteReference w:id="249"/>
      </w:r>
      <w:r w:rsidR="006F3FB5" w:rsidRPr="00DE3DAA">
        <w:rPr>
          <w:rFonts w:ascii="Times New Roman" w:hAnsi="Times New Roman" w:cs="Times New Roman"/>
          <w:sz w:val="26"/>
          <w:szCs w:val="26"/>
        </w:rPr>
        <w:t xml:space="preserve"> The pursuit or exercise of managerial flexibility may take the form of, or result in, frequent or even continuous re-contracting of </w:t>
      </w:r>
      <w:r w:rsidR="00AB02BE" w:rsidRPr="00DE3DAA">
        <w:rPr>
          <w:rFonts w:ascii="Times New Roman" w:hAnsi="Times New Roman" w:cs="Times New Roman"/>
          <w:sz w:val="26"/>
          <w:szCs w:val="26"/>
        </w:rPr>
        <w:t>personal work</w:t>
      </w:r>
      <w:r w:rsidR="006F3FB5" w:rsidRPr="00DE3DAA">
        <w:rPr>
          <w:rFonts w:ascii="Times New Roman" w:hAnsi="Times New Roman" w:cs="Times New Roman"/>
          <w:sz w:val="26"/>
          <w:szCs w:val="26"/>
        </w:rPr>
        <w:t xml:space="preserve"> relationships</w:t>
      </w:r>
      <w:r w:rsidR="00AB02BE" w:rsidRPr="00DE3DAA">
        <w:rPr>
          <w:rFonts w:ascii="Times New Roman" w:hAnsi="Times New Roman" w:cs="Times New Roman"/>
          <w:sz w:val="26"/>
          <w:szCs w:val="26"/>
        </w:rPr>
        <w:t>. In a state of managerial flexibility, the articulation and introduction of new contractual structures or frameworks will tend to be a unilateral management activity, even though the settling of detailed tariffs of terms and conditions within those frameworks may be a matter for collective bargaining or consultation, and the locating of particular workers within those structures or frameworks may be a matter for individual negotiation or discussion.</w:t>
      </w:r>
      <w:r w:rsidR="00B264A3" w:rsidRPr="00DE3DAA">
        <w:rPr>
          <w:rStyle w:val="ae"/>
          <w:rFonts w:ascii="Times New Roman" w:hAnsi="Times New Roman" w:cs="Times New Roman"/>
          <w:sz w:val="26"/>
          <w:szCs w:val="26"/>
        </w:rPr>
        <w:footnoteReference w:id="250"/>
      </w:r>
      <w:r w:rsidR="00D22497" w:rsidRPr="00DE3DAA">
        <w:rPr>
          <w:rFonts w:ascii="Times New Roman" w:hAnsi="Times New Roman" w:cs="Times New Roman"/>
          <w:sz w:val="26"/>
          <w:szCs w:val="26"/>
        </w:rPr>
        <w:t xml:space="preserve">That is, this re-contracting may be partly on a uniform basis across a whole group of workers, but partly individuated which could be considered as the re-constituting of the internal </w:t>
      </w:r>
      <w:proofErr w:type="spellStart"/>
      <w:r w:rsidR="00D22497" w:rsidRPr="00DE3DAA">
        <w:rPr>
          <w:rFonts w:ascii="Times New Roman" w:hAnsi="Times New Roman" w:cs="Times New Roman"/>
          <w:sz w:val="26"/>
          <w:szCs w:val="26"/>
        </w:rPr>
        <w:t>labour</w:t>
      </w:r>
      <w:proofErr w:type="spellEnd"/>
      <w:r w:rsidR="00D22497" w:rsidRPr="00DE3DAA">
        <w:rPr>
          <w:rFonts w:ascii="Times New Roman" w:hAnsi="Times New Roman" w:cs="Times New Roman"/>
          <w:sz w:val="26"/>
          <w:szCs w:val="26"/>
        </w:rPr>
        <w:t xml:space="preserve"> market and the re-locating of it with </w:t>
      </w:r>
      <w:r w:rsidR="00D22497" w:rsidRPr="00DE3DAA">
        <w:rPr>
          <w:rFonts w:ascii="Times New Roman" w:hAnsi="Times New Roman" w:cs="Times New Roman"/>
          <w:sz w:val="26"/>
          <w:szCs w:val="26"/>
        </w:rPr>
        <w:lastRenderedPageBreak/>
        <w:t xml:space="preserve">regard to the external </w:t>
      </w:r>
      <w:proofErr w:type="spellStart"/>
      <w:r w:rsidR="00D22497" w:rsidRPr="00DE3DAA">
        <w:rPr>
          <w:rFonts w:ascii="Times New Roman" w:hAnsi="Times New Roman" w:cs="Times New Roman"/>
          <w:sz w:val="26"/>
          <w:szCs w:val="26"/>
        </w:rPr>
        <w:t>labour</w:t>
      </w:r>
      <w:proofErr w:type="spellEnd"/>
      <w:r w:rsidR="00D22497" w:rsidRPr="00DE3DAA">
        <w:rPr>
          <w:rFonts w:ascii="Times New Roman" w:hAnsi="Times New Roman" w:cs="Times New Roman"/>
          <w:sz w:val="26"/>
          <w:szCs w:val="26"/>
        </w:rPr>
        <w:t xml:space="preserve"> market.</w:t>
      </w:r>
      <w:r w:rsidR="00B264A3" w:rsidRPr="00DE3DAA">
        <w:rPr>
          <w:rStyle w:val="ae"/>
          <w:rFonts w:ascii="Times New Roman" w:hAnsi="Times New Roman" w:cs="Times New Roman"/>
          <w:sz w:val="26"/>
          <w:szCs w:val="26"/>
        </w:rPr>
        <w:footnoteReference w:id="251"/>
      </w:r>
      <w:r w:rsidR="006508DA" w:rsidRPr="00DE3DAA">
        <w:rPr>
          <w:rFonts w:ascii="Times New Roman" w:hAnsi="Times New Roman" w:cs="Times New Roman"/>
          <w:sz w:val="26"/>
          <w:szCs w:val="26"/>
        </w:rPr>
        <w:t xml:space="preserve"> </w:t>
      </w:r>
      <w:r w:rsidR="00745A1A" w:rsidRPr="00DE3DAA">
        <w:rPr>
          <w:rFonts w:ascii="Times New Roman" w:hAnsi="Times New Roman" w:cs="Times New Roman"/>
          <w:sz w:val="26"/>
          <w:szCs w:val="26"/>
        </w:rPr>
        <w:t>Even though</w:t>
      </w:r>
      <w:r w:rsidR="00ED2FAA" w:rsidRPr="00DE3DAA">
        <w:rPr>
          <w:rFonts w:ascii="Times New Roman" w:hAnsi="Times New Roman" w:cs="Times New Roman"/>
          <w:sz w:val="26"/>
          <w:szCs w:val="26"/>
        </w:rPr>
        <w:t xml:space="preserve"> it may be difficult to assess how far this state of managerial flexibility was realized during the period</w:t>
      </w:r>
      <w:r w:rsidR="00735180" w:rsidRPr="00DE3DAA">
        <w:rPr>
          <w:rFonts w:ascii="Times New Roman" w:hAnsi="Times New Roman" w:cs="Times New Roman"/>
          <w:sz w:val="26"/>
          <w:szCs w:val="26"/>
        </w:rPr>
        <w:t xml:space="preserve"> of those governments</w:t>
      </w:r>
      <w:r w:rsidR="00ED2FAA" w:rsidRPr="00DE3DAA">
        <w:rPr>
          <w:rFonts w:ascii="Times New Roman" w:hAnsi="Times New Roman" w:cs="Times New Roman"/>
          <w:sz w:val="26"/>
          <w:szCs w:val="26"/>
        </w:rPr>
        <w:t xml:space="preserve">, the pursuit of managerial flexibility </w:t>
      </w:r>
      <w:r w:rsidR="00735180" w:rsidRPr="00DE3DAA">
        <w:rPr>
          <w:rFonts w:ascii="Times New Roman" w:hAnsi="Times New Roman" w:cs="Times New Roman"/>
          <w:sz w:val="26"/>
          <w:szCs w:val="26"/>
        </w:rPr>
        <w:t>has been considered as</w:t>
      </w:r>
      <w:r w:rsidR="00ED2FAA" w:rsidRPr="00DE3DAA">
        <w:rPr>
          <w:rFonts w:ascii="Times New Roman" w:hAnsi="Times New Roman" w:cs="Times New Roman"/>
          <w:sz w:val="26"/>
          <w:szCs w:val="26"/>
        </w:rPr>
        <w:t xml:space="preserve"> an </w:t>
      </w:r>
      <w:r w:rsidR="005F6051" w:rsidRPr="00DE3DAA">
        <w:rPr>
          <w:rFonts w:ascii="Times New Roman" w:hAnsi="Times New Roman" w:cs="Times New Roman"/>
          <w:sz w:val="26"/>
          <w:szCs w:val="26"/>
        </w:rPr>
        <w:t>inherent and perpetual pursuing</w:t>
      </w:r>
      <w:r w:rsidR="00ED2FAA" w:rsidRPr="00DE3DAA">
        <w:rPr>
          <w:rFonts w:ascii="Times New Roman" w:hAnsi="Times New Roman" w:cs="Times New Roman"/>
          <w:sz w:val="26"/>
          <w:szCs w:val="26"/>
        </w:rPr>
        <w:t xml:space="preserve"> goal of managements in the conduct of industrial relations or employment relations over a long period of time.</w:t>
      </w:r>
      <w:r w:rsidR="00B264A3" w:rsidRPr="00DE3DAA">
        <w:rPr>
          <w:rStyle w:val="ae"/>
          <w:rFonts w:ascii="Times New Roman" w:hAnsi="Times New Roman" w:cs="Times New Roman"/>
          <w:sz w:val="26"/>
          <w:szCs w:val="26"/>
        </w:rPr>
        <w:footnoteReference w:id="252"/>
      </w:r>
      <w:r w:rsidR="005F6051" w:rsidRPr="00DE3DAA">
        <w:rPr>
          <w:rFonts w:ascii="Times New Roman" w:hAnsi="Times New Roman" w:cs="Times New Roman"/>
          <w:sz w:val="26"/>
          <w:szCs w:val="26"/>
        </w:rPr>
        <w:t xml:space="preserve"> However, there were significant factors which could have considerable effects on the development and deployment of managerial flexibility during the period</w:t>
      </w:r>
      <w:r w:rsidR="000550DA" w:rsidRPr="00DE3DAA">
        <w:rPr>
          <w:rFonts w:ascii="Times New Roman" w:hAnsi="Times New Roman" w:cs="Times New Roman"/>
          <w:sz w:val="26"/>
          <w:szCs w:val="26"/>
        </w:rPr>
        <w:t xml:space="preserve"> as </w:t>
      </w:r>
      <w:r w:rsidR="009722D0" w:rsidRPr="00DE3DAA">
        <w:rPr>
          <w:rFonts w:ascii="Times New Roman" w:hAnsi="Times New Roman" w:cs="Times New Roman"/>
          <w:sz w:val="26"/>
          <w:szCs w:val="26"/>
        </w:rPr>
        <w:t>s</w:t>
      </w:r>
      <w:r w:rsidR="000550DA" w:rsidRPr="00DE3DAA">
        <w:rPr>
          <w:rFonts w:ascii="Times New Roman" w:hAnsi="Times New Roman" w:cs="Times New Roman"/>
          <w:sz w:val="26"/>
          <w:szCs w:val="26"/>
        </w:rPr>
        <w:t>ame with</w:t>
      </w:r>
      <w:r w:rsidR="009722D0" w:rsidRPr="00DE3DAA">
        <w:rPr>
          <w:rFonts w:ascii="Times New Roman" w:hAnsi="Times New Roman" w:cs="Times New Roman"/>
          <w:sz w:val="26"/>
          <w:szCs w:val="26"/>
        </w:rPr>
        <w:t xml:space="preserve"> the</w:t>
      </w:r>
      <w:r w:rsidR="000550DA" w:rsidRPr="00DE3DAA">
        <w:rPr>
          <w:rFonts w:ascii="Times New Roman" w:hAnsi="Times New Roman" w:cs="Times New Roman"/>
          <w:sz w:val="26"/>
          <w:szCs w:val="26"/>
        </w:rPr>
        <w:t xml:space="preserve"> de-</w:t>
      </w:r>
      <w:proofErr w:type="spellStart"/>
      <w:r w:rsidR="000550DA" w:rsidRPr="00DE3DAA">
        <w:rPr>
          <w:rFonts w:ascii="Times New Roman" w:hAnsi="Times New Roman" w:cs="Times New Roman"/>
          <w:sz w:val="26"/>
          <w:szCs w:val="26"/>
        </w:rPr>
        <w:t>standardisation</w:t>
      </w:r>
      <w:proofErr w:type="spellEnd"/>
      <w:r w:rsidR="000550DA" w:rsidRPr="00DE3DAA">
        <w:rPr>
          <w:rFonts w:ascii="Times New Roman" w:hAnsi="Times New Roman" w:cs="Times New Roman"/>
          <w:sz w:val="26"/>
          <w:szCs w:val="26"/>
        </w:rPr>
        <w:t xml:space="preserve"> and de-</w:t>
      </w:r>
      <w:proofErr w:type="spellStart"/>
      <w:r w:rsidR="000550DA" w:rsidRPr="00DE3DAA">
        <w:rPr>
          <w:rFonts w:ascii="Times New Roman" w:hAnsi="Times New Roman" w:cs="Times New Roman"/>
          <w:sz w:val="26"/>
          <w:szCs w:val="26"/>
        </w:rPr>
        <w:t>unionisation</w:t>
      </w:r>
      <w:proofErr w:type="spellEnd"/>
      <w:r w:rsidR="000550DA" w:rsidRPr="00DE3DAA">
        <w:rPr>
          <w:rFonts w:ascii="Times New Roman" w:hAnsi="Times New Roman" w:cs="Times New Roman"/>
          <w:sz w:val="26"/>
          <w:szCs w:val="26"/>
        </w:rPr>
        <w:t xml:space="preserve">. </w:t>
      </w:r>
      <w:r w:rsidR="0026410F" w:rsidRPr="00DE3DAA">
        <w:rPr>
          <w:rFonts w:ascii="Times New Roman" w:hAnsi="Times New Roman" w:cs="Times New Roman"/>
          <w:sz w:val="26"/>
          <w:szCs w:val="26"/>
        </w:rPr>
        <w:t>This factor was the strong tendency of the economy to evolve towards service industries and occupations away from manufacturing industries and occupations.</w:t>
      </w:r>
      <w:r w:rsidR="00B264A3" w:rsidRPr="00DE3DAA">
        <w:rPr>
          <w:rStyle w:val="ae"/>
          <w:rFonts w:ascii="Times New Roman" w:hAnsi="Times New Roman" w:cs="Times New Roman"/>
          <w:sz w:val="26"/>
          <w:szCs w:val="26"/>
        </w:rPr>
        <w:footnoteReference w:id="253"/>
      </w:r>
      <w:r w:rsidR="005F6051" w:rsidRPr="00DE3DAA">
        <w:rPr>
          <w:rFonts w:ascii="Times New Roman" w:hAnsi="Times New Roman" w:cs="Times New Roman"/>
          <w:sz w:val="26"/>
          <w:szCs w:val="26"/>
        </w:rPr>
        <w:t xml:space="preserve"> </w:t>
      </w:r>
      <w:r w:rsidR="002B22B8" w:rsidRPr="00DE3DAA">
        <w:rPr>
          <w:rFonts w:ascii="Times New Roman" w:hAnsi="Times New Roman" w:cs="Times New Roman"/>
          <w:sz w:val="26"/>
          <w:szCs w:val="26"/>
        </w:rPr>
        <w:t>In general, t</w:t>
      </w:r>
      <w:r w:rsidR="00DF071C" w:rsidRPr="00DE3DAA">
        <w:rPr>
          <w:rFonts w:ascii="Times New Roman" w:hAnsi="Times New Roman" w:cs="Times New Roman"/>
          <w:sz w:val="26"/>
          <w:szCs w:val="26"/>
        </w:rPr>
        <w:t>he processes and mechanisms of service provision seem</w:t>
      </w:r>
      <w:r w:rsidR="002B22B8" w:rsidRPr="00DE3DAA">
        <w:rPr>
          <w:rFonts w:ascii="Times New Roman" w:hAnsi="Times New Roman" w:cs="Times New Roman"/>
          <w:sz w:val="26"/>
          <w:szCs w:val="26"/>
        </w:rPr>
        <w:t xml:space="preserve"> more</w:t>
      </w:r>
      <w:r w:rsidR="00DF071C" w:rsidRPr="00DE3DAA">
        <w:rPr>
          <w:rFonts w:ascii="Times New Roman" w:hAnsi="Times New Roman" w:cs="Times New Roman"/>
          <w:sz w:val="26"/>
          <w:szCs w:val="26"/>
        </w:rPr>
        <w:t xml:space="preserve"> susceptible to, and dependent upon, rapid adaptability of personal work relations than those of the production of physical goods.</w:t>
      </w:r>
      <w:r w:rsidR="00B264A3" w:rsidRPr="00DE3DAA">
        <w:rPr>
          <w:rStyle w:val="ae"/>
          <w:rFonts w:ascii="Times New Roman" w:hAnsi="Times New Roman" w:cs="Times New Roman"/>
          <w:sz w:val="26"/>
          <w:szCs w:val="26"/>
        </w:rPr>
        <w:footnoteReference w:id="254"/>
      </w:r>
      <w:r w:rsidR="002B22B8" w:rsidRPr="00DE3DAA">
        <w:rPr>
          <w:rFonts w:ascii="Times New Roman" w:hAnsi="Times New Roman" w:cs="Times New Roman"/>
          <w:sz w:val="26"/>
          <w:szCs w:val="26"/>
        </w:rPr>
        <w:t xml:space="preserve"> Moreover, the intensification and increasing professionalization of personnel management, re-</w:t>
      </w:r>
      <w:proofErr w:type="spellStart"/>
      <w:r w:rsidR="002B22B8" w:rsidRPr="00DE3DAA">
        <w:rPr>
          <w:rFonts w:ascii="Times New Roman" w:hAnsi="Times New Roman" w:cs="Times New Roman"/>
          <w:sz w:val="26"/>
          <w:szCs w:val="26"/>
        </w:rPr>
        <w:t>conceptualised</w:t>
      </w:r>
      <w:proofErr w:type="spellEnd"/>
      <w:r w:rsidR="002B22B8" w:rsidRPr="00DE3DAA">
        <w:rPr>
          <w:rFonts w:ascii="Times New Roman" w:hAnsi="Times New Roman" w:cs="Times New Roman"/>
          <w:sz w:val="26"/>
          <w:szCs w:val="26"/>
        </w:rPr>
        <w:t xml:space="preserve"> as human resource management can be also said as another important factors for the development of the managerial adaptability.</w:t>
      </w:r>
      <w:r w:rsidR="00B264A3" w:rsidRPr="00DE3DAA">
        <w:rPr>
          <w:rStyle w:val="ae"/>
          <w:rFonts w:ascii="Times New Roman" w:hAnsi="Times New Roman" w:cs="Times New Roman"/>
          <w:sz w:val="26"/>
          <w:szCs w:val="26"/>
        </w:rPr>
        <w:footnoteReference w:id="255"/>
      </w:r>
      <w:r w:rsidR="002A6483" w:rsidRPr="00DE3DAA">
        <w:rPr>
          <w:rFonts w:ascii="Times New Roman" w:hAnsi="Times New Roman" w:cs="Times New Roman"/>
          <w:sz w:val="26"/>
          <w:szCs w:val="26"/>
        </w:rPr>
        <w:t>As mentioned above, managerial flexibility is continuously pursuing goal in the management of employing enterprises</w:t>
      </w:r>
      <w:r w:rsidR="00A559A8" w:rsidRPr="00DE3DAA">
        <w:rPr>
          <w:rFonts w:ascii="Times New Roman" w:hAnsi="Times New Roman" w:cs="Times New Roman"/>
          <w:sz w:val="26"/>
          <w:szCs w:val="26"/>
        </w:rPr>
        <w:t xml:space="preserve"> and it cannot be estimated how far </w:t>
      </w:r>
      <w:r w:rsidR="00617F27" w:rsidRPr="00DE3DAA">
        <w:rPr>
          <w:rFonts w:ascii="Times New Roman" w:hAnsi="Times New Roman" w:cs="Times New Roman"/>
          <w:sz w:val="26"/>
          <w:szCs w:val="26"/>
        </w:rPr>
        <w:t xml:space="preserve">there was a change of kind in </w:t>
      </w:r>
      <w:proofErr w:type="spellStart"/>
      <w:r w:rsidR="00617F27" w:rsidRPr="00DE3DAA">
        <w:rPr>
          <w:rFonts w:ascii="Times New Roman" w:hAnsi="Times New Roman" w:cs="Times New Roman"/>
          <w:sz w:val="26"/>
          <w:szCs w:val="26"/>
        </w:rPr>
        <w:t>favour</w:t>
      </w:r>
      <w:proofErr w:type="spellEnd"/>
      <w:r w:rsidR="00617F27" w:rsidRPr="00DE3DAA">
        <w:rPr>
          <w:rFonts w:ascii="Times New Roman" w:hAnsi="Times New Roman" w:cs="Times New Roman"/>
          <w:sz w:val="26"/>
          <w:szCs w:val="26"/>
        </w:rPr>
        <w:t xml:space="preserve"> of managerial flexibility as a mode of, or approach to, the conduct of personal work relations during the period</w:t>
      </w:r>
      <w:r w:rsidR="002A6483" w:rsidRPr="00DE3DAA">
        <w:rPr>
          <w:rFonts w:ascii="Times New Roman" w:hAnsi="Times New Roman" w:cs="Times New Roman"/>
          <w:sz w:val="26"/>
          <w:szCs w:val="26"/>
        </w:rPr>
        <w:t xml:space="preserve">, it should be noted that the managerial flexibility became a guiding </w:t>
      </w:r>
      <w:r w:rsidR="00617F27" w:rsidRPr="00DE3DAA">
        <w:rPr>
          <w:rFonts w:ascii="Times New Roman" w:hAnsi="Times New Roman" w:cs="Times New Roman"/>
          <w:sz w:val="26"/>
          <w:szCs w:val="26"/>
        </w:rPr>
        <w:t>idea</w:t>
      </w:r>
      <w:r w:rsidR="00731B9A" w:rsidRPr="00DE3DAA">
        <w:rPr>
          <w:rFonts w:ascii="Times New Roman" w:hAnsi="Times New Roman" w:cs="Times New Roman"/>
          <w:sz w:val="26"/>
          <w:szCs w:val="26"/>
        </w:rPr>
        <w:t>l</w:t>
      </w:r>
      <w:r w:rsidR="002A6483" w:rsidRPr="00DE3DAA">
        <w:rPr>
          <w:rFonts w:ascii="Times New Roman" w:hAnsi="Times New Roman" w:cs="Times New Roman"/>
          <w:sz w:val="26"/>
          <w:szCs w:val="26"/>
        </w:rPr>
        <w:t xml:space="preserve"> for public policy during the period perhaps for </w:t>
      </w:r>
      <w:proofErr w:type="spellStart"/>
      <w:r w:rsidR="002A6483" w:rsidRPr="00DE3DAA">
        <w:rPr>
          <w:rFonts w:ascii="Times New Roman" w:hAnsi="Times New Roman" w:cs="Times New Roman"/>
          <w:sz w:val="26"/>
          <w:szCs w:val="26"/>
        </w:rPr>
        <w:t>labour</w:t>
      </w:r>
      <w:proofErr w:type="spellEnd"/>
      <w:r w:rsidR="002A6483" w:rsidRPr="00DE3DAA">
        <w:rPr>
          <w:rFonts w:ascii="Times New Roman" w:hAnsi="Times New Roman" w:cs="Times New Roman"/>
          <w:sz w:val="26"/>
          <w:szCs w:val="26"/>
        </w:rPr>
        <w:t xml:space="preserve"> legislation in general but certainly for the aspects of legislation and regulation of personal work relations</w:t>
      </w:r>
      <w:r w:rsidR="00DF3656" w:rsidRPr="00DE3DAA">
        <w:rPr>
          <w:rFonts w:ascii="Times New Roman" w:hAnsi="Times New Roman" w:cs="Times New Roman"/>
          <w:sz w:val="26"/>
          <w:szCs w:val="26"/>
        </w:rPr>
        <w:t>.</w:t>
      </w:r>
      <w:r w:rsidR="00B264A3" w:rsidRPr="00DE3DAA">
        <w:rPr>
          <w:rStyle w:val="ae"/>
          <w:rFonts w:ascii="Times New Roman" w:hAnsi="Times New Roman" w:cs="Times New Roman"/>
          <w:sz w:val="26"/>
          <w:szCs w:val="26"/>
        </w:rPr>
        <w:footnoteReference w:id="256"/>
      </w:r>
      <w:r w:rsidR="000F26C8" w:rsidRPr="00DE3DAA">
        <w:rPr>
          <w:rFonts w:ascii="Times New Roman" w:hAnsi="Times New Roman" w:cs="Times New Roman"/>
          <w:sz w:val="26"/>
          <w:szCs w:val="26"/>
        </w:rPr>
        <w:t xml:space="preserve"> </w:t>
      </w:r>
      <w:r w:rsidR="00731B9A" w:rsidRPr="00DE3DAA">
        <w:rPr>
          <w:rFonts w:ascii="Times New Roman" w:hAnsi="Times New Roman" w:cs="Times New Roman"/>
          <w:sz w:val="26"/>
          <w:szCs w:val="26"/>
        </w:rPr>
        <w:t xml:space="preserve">It can be said this ideal </w:t>
      </w:r>
      <w:r w:rsidR="00731B9A" w:rsidRPr="00DE3DAA">
        <w:rPr>
          <w:rFonts w:ascii="Times New Roman" w:hAnsi="Times New Roman" w:cs="Times New Roman"/>
          <w:sz w:val="26"/>
          <w:szCs w:val="26"/>
        </w:rPr>
        <w:lastRenderedPageBreak/>
        <w:t>was</w:t>
      </w:r>
      <w:r w:rsidR="0015389A" w:rsidRPr="00DE3DAA">
        <w:rPr>
          <w:rFonts w:ascii="Times New Roman" w:hAnsi="Times New Roman" w:cs="Times New Roman"/>
          <w:sz w:val="26"/>
          <w:szCs w:val="26"/>
        </w:rPr>
        <w:t xml:space="preserve"> discerned in a rather general and negative sense during the Major administration as way of dictating a continuation of the policies of de-regulation of the previous Thatcher administration, and an increasingly persistent resistance to European Community social policy legislation.</w:t>
      </w:r>
      <w:r w:rsidR="00B264A3" w:rsidRPr="00DE3DAA">
        <w:rPr>
          <w:rStyle w:val="ae"/>
          <w:rFonts w:ascii="Times New Roman" w:hAnsi="Times New Roman" w:cs="Times New Roman"/>
          <w:sz w:val="26"/>
          <w:szCs w:val="26"/>
        </w:rPr>
        <w:footnoteReference w:id="257"/>
      </w:r>
      <w:r w:rsidR="0015389A" w:rsidRPr="00DE3DAA">
        <w:rPr>
          <w:rFonts w:ascii="Times New Roman" w:hAnsi="Times New Roman" w:cs="Times New Roman"/>
          <w:sz w:val="26"/>
          <w:szCs w:val="26"/>
        </w:rPr>
        <w:t xml:space="preserve"> However, the Blair administration after the election of 1997 was to pursue the goal of managerial flexibility in personal work relations in a somewhat more positive and nuanced way.</w:t>
      </w:r>
      <w:r w:rsidR="00B264A3" w:rsidRPr="00DE3DAA">
        <w:rPr>
          <w:rStyle w:val="ae"/>
          <w:rFonts w:ascii="Times New Roman" w:hAnsi="Times New Roman" w:cs="Times New Roman"/>
          <w:sz w:val="26"/>
          <w:szCs w:val="26"/>
        </w:rPr>
        <w:footnoteReference w:id="258"/>
      </w:r>
      <w:r w:rsidR="0096144B" w:rsidRPr="00DE3DAA">
        <w:rPr>
          <w:rFonts w:ascii="Times New Roman" w:hAnsi="Times New Roman" w:cs="Times New Roman"/>
          <w:sz w:val="26"/>
          <w:szCs w:val="26"/>
        </w:rPr>
        <w:t xml:space="preserve"> </w:t>
      </w:r>
      <w:r w:rsidR="00CF1C99" w:rsidRPr="00DE3DAA">
        <w:rPr>
          <w:rFonts w:ascii="Times New Roman" w:hAnsi="Times New Roman" w:cs="Times New Roman"/>
          <w:sz w:val="26"/>
          <w:szCs w:val="26"/>
        </w:rPr>
        <w:t>It was noticed that this ideal supported strongly the programmatic policy pursuit both at rhetorical and practical levels in</w:t>
      </w:r>
      <w:r w:rsidR="00C65E8F" w:rsidRPr="00DE3DAA">
        <w:rPr>
          <w:rFonts w:ascii="Times New Roman" w:hAnsi="Times New Roman" w:cs="Times New Roman"/>
          <w:sz w:val="26"/>
          <w:szCs w:val="26"/>
        </w:rPr>
        <w:t xml:space="preserve"> the early years after 1997</w:t>
      </w:r>
      <w:r w:rsidR="00CF1C99" w:rsidRPr="00DE3DAA">
        <w:rPr>
          <w:rFonts w:ascii="Times New Roman" w:hAnsi="Times New Roman" w:cs="Times New Roman"/>
          <w:sz w:val="26"/>
          <w:szCs w:val="26"/>
        </w:rPr>
        <w:t xml:space="preserve"> and </w:t>
      </w:r>
      <w:r w:rsidR="006767A9" w:rsidRPr="00DE3DAA">
        <w:rPr>
          <w:rFonts w:ascii="Times New Roman" w:hAnsi="Times New Roman" w:cs="Times New Roman"/>
          <w:sz w:val="26"/>
          <w:szCs w:val="26"/>
        </w:rPr>
        <w:t>both in the manner of engagement with EU social law and policy and in the development of domestic legislative policy.</w:t>
      </w:r>
      <w:r w:rsidR="00B264A3" w:rsidRPr="00DE3DAA">
        <w:rPr>
          <w:rStyle w:val="ae"/>
          <w:rFonts w:ascii="Times New Roman" w:hAnsi="Times New Roman" w:cs="Times New Roman"/>
          <w:sz w:val="26"/>
          <w:szCs w:val="26"/>
        </w:rPr>
        <w:footnoteReference w:id="259"/>
      </w:r>
      <w:r w:rsidR="00CF1C99" w:rsidRPr="00DE3DAA">
        <w:rPr>
          <w:rFonts w:ascii="Times New Roman" w:hAnsi="Times New Roman" w:cs="Times New Roman"/>
          <w:sz w:val="26"/>
          <w:szCs w:val="26"/>
        </w:rPr>
        <w:t xml:space="preserve"> </w:t>
      </w:r>
      <w:r w:rsidR="004826C5" w:rsidRPr="00DE3DAA">
        <w:rPr>
          <w:rFonts w:ascii="Times New Roman" w:hAnsi="Times New Roman" w:cs="Times New Roman"/>
          <w:sz w:val="26"/>
          <w:szCs w:val="26"/>
        </w:rPr>
        <w:t xml:space="preserve">Through the subsequent years, an initial New </w:t>
      </w:r>
      <w:proofErr w:type="spellStart"/>
      <w:r w:rsidR="004826C5" w:rsidRPr="00DE3DAA">
        <w:rPr>
          <w:rFonts w:ascii="Times New Roman" w:hAnsi="Times New Roman" w:cs="Times New Roman"/>
          <w:sz w:val="26"/>
          <w:szCs w:val="26"/>
        </w:rPr>
        <w:t>Labour</w:t>
      </w:r>
      <w:proofErr w:type="spellEnd"/>
      <w:r w:rsidR="004826C5" w:rsidRPr="00DE3DAA">
        <w:rPr>
          <w:rFonts w:ascii="Times New Roman" w:hAnsi="Times New Roman" w:cs="Times New Roman"/>
          <w:sz w:val="26"/>
          <w:szCs w:val="26"/>
        </w:rPr>
        <w:t xml:space="preserve"> consensus around the public policy of personal work relations tended to dissolve</w:t>
      </w:r>
      <w:r w:rsidR="004826C5" w:rsidRPr="00DE3DAA">
        <w:rPr>
          <w:rFonts w:ascii="Times New Roman" w:hAnsi="Times New Roman" w:cs="Times New Roman"/>
          <w:b/>
          <w:sz w:val="26"/>
          <w:szCs w:val="26"/>
        </w:rPr>
        <w:t>.</w:t>
      </w:r>
      <w:r w:rsidR="00B264A3" w:rsidRPr="00DE3DAA">
        <w:rPr>
          <w:rStyle w:val="ae"/>
          <w:rFonts w:ascii="Times New Roman" w:hAnsi="Times New Roman" w:cs="Times New Roman"/>
          <w:b/>
          <w:sz w:val="26"/>
          <w:szCs w:val="26"/>
        </w:rPr>
        <w:footnoteReference w:id="260"/>
      </w:r>
      <w:r w:rsidR="00CC5788" w:rsidRPr="00DE3DAA">
        <w:rPr>
          <w:rFonts w:ascii="Times New Roman" w:hAnsi="Times New Roman" w:cs="Times New Roman"/>
          <w:sz w:val="26"/>
          <w:szCs w:val="26"/>
        </w:rPr>
        <w:t xml:space="preserve"> </w:t>
      </w:r>
      <w:r w:rsidR="00D95536" w:rsidRPr="00DE3DAA">
        <w:rPr>
          <w:rFonts w:ascii="Times New Roman" w:hAnsi="Times New Roman" w:cs="Times New Roman"/>
          <w:sz w:val="26"/>
          <w:szCs w:val="26"/>
        </w:rPr>
        <w:t>This erosion of</w:t>
      </w:r>
      <w:r w:rsidR="009058CB" w:rsidRPr="00DE3DAA">
        <w:rPr>
          <w:rFonts w:ascii="Times New Roman" w:hAnsi="Times New Roman" w:cs="Times New Roman"/>
          <w:sz w:val="26"/>
          <w:szCs w:val="26"/>
        </w:rPr>
        <w:t xml:space="preserve"> consensus was shown rather</w:t>
      </w:r>
      <w:r w:rsidR="00CC5788" w:rsidRPr="00DE3DAA">
        <w:rPr>
          <w:rFonts w:ascii="Times New Roman" w:hAnsi="Times New Roman" w:cs="Times New Roman"/>
          <w:sz w:val="26"/>
          <w:szCs w:val="26"/>
        </w:rPr>
        <w:t xml:space="preserve"> significantly </w:t>
      </w:r>
      <w:r w:rsidR="009058CB" w:rsidRPr="00DE3DAA">
        <w:rPr>
          <w:rFonts w:ascii="Times New Roman" w:hAnsi="Times New Roman" w:cs="Times New Roman"/>
          <w:sz w:val="26"/>
          <w:szCs w:val="26"/>
        </w:rPr>
        <w:t>with regard to</w:t>
      </w:r>
      <w:r w:rsidR="00CC5788" w:rsidRPr="00DE3DAA">
        <w:rPr>
          <w:rFonts w:ascii="Times New Roman" w:hAnsi="Times New Roman" w:cs="Times New Roman"/>
          <w:sz w:val="26"/>
          <w:szCs w:val="26"/>
        </w:rPr>
        <w:t xml:space="preserve"> the politics of personal work relations in the public sector</w:t>
      </w:r>
      <w:r w:rsidR="009058CB" w:rsidRPr="00DE3DAA">
        <w:rPr>
          <w:rFonts w:ascii="Times New Roman" w:hAnsi="Times New Roman" w:cs="Times New Roman"/>
          <w:sz w:val="26"/>
          <w:szCs w:val="26"/>
        </w:rPr>
        <w:t xml:space="preserve"> because it</w:t>
      </w:r>
      <w:r w:rsidR="004826C5" w:rsidRPr="00DE3DAA">
        <w:rPr>
          <w:rFonts w:ascii="Times New Roman" w:hAnsi="Times New Roman" w:cs="Times New Roman"/>
          <w:sz w:val="26"/>
          <w:szCs w:val="26"/>
        </w:rPr>
        <w:t xml:space="preserve"> required a great deal of positive public reformist activity</w:t>
      </w:r>
      <w:r w:rsidR="009058CB" w:rsidRPr="00DE3DAA">
        <w:rPr>
          <w:rFonts w:ascii="Times New Roman" w:hAnsi="Times New Roman" w:cs="Times New Roman"/>
          <w:sz w:val="26"/>
          <w:szCs w:val="26"/>
        </w:rPr>
        <w:t xml:space="preserve"> to pursue the politics of personal work relations in relation to the public sector while </w:t>
      </w:r>
      <w:proofErr w:type="spellStart"/>
      <w:r w:rsidR="009058CB" w:rsidRPr="00DE3DAA">
        <w:rPr>
          <w:rFonts w:ascii="Times New Roman" w:hAnsi="Times New Roman" w:cs="Times New Roman"/>
          <w:sz w:val="26"/>
          <w:szCs w:val="26"/>
        </w:rPr>
        <w:t>thegoal</w:t>
      </w:r>
      <w:proofErr w:type="spellEnd"/>
      <w:r w:rsidR="009058CB" w:rsidRPr="00DE3DAA">
        <w:rPr>
          <w:rFonts w:ascii="Times New Roman" w:hAnsi="Times New Roman" w:cs="Times New Roman"/>
          <w:sz w:val="26"/>
          <w:szCs w:val="26"/>
        </w:rPr>
        <w:t xml:space="preserve"> of managerial flexibility could be pursued without a great deal of legislative or normative activity with regard to the private sector.</w:t>
      </w:r>
      <w:r w:rsidR="00B264A3" w:rsidRPr="00DE3DAA">
        <w:rPr>
          <w:rStyle w:val="ae"/>
          <w:rFonts w:ascii="Times New Roman" w:hAnsi="Times New Roman" w:cs="Times New Roman"/>
          <w:sz w:val="26"/>
          <w:szCs w:val="26"/>
        </w:rPr>
        <w:footnoteReference w:id="261"/>
      </w:r>
      <w:r w:rsidR="002742AE" w:rsidRPr="00DE3DAA">
        <w:rPr>
          <w:rFonts w:ascii="Times New Roman" w:hAnsi="Times New Roman" w:cs="Times New Roman"/>
          <w:sz w:val="26"/>
          <w:szCs w:val="26"/>
        </w:rPr>
        <w:t xml:space="preserve"> </w:t>
      </w:r>
    </w:p>
    <w:p w14:paraId="7C922DEB" w14:textId="77777777" w:rsidR="004826C5" w:rsidRPr="00DE3DAA" w:rsidRDefault="004826C5" w:rsidP="00F04349">
      <w:pPr>
        <w:pStyle w:val="a3"/>
        <w:ind w:leftChars="0" w:left="1520"/>
        <w:rPr>
          <w:rFonts w:ascii="Times New Roman" w:hAnsi="Times New Roman" w:cs="Times New Roman"/>
          <w:b/>
          <w:sz w:val="26"/>
          <w:szCs w:val="26"/>
        </w:rPr>
      </w:pPr>
    </w:p>
    <w:p w14:paraId="2F8606BE" w14:textId="0FF352AD" w:rsidR="00313C9C" w:rsidRPr="00DE3DAA" w:rsidRDefault="002742AE" w:rsidP="00313C9C">
      <w:pPr>
        <w:pStyle w:val="a3"/>
        <w:numPr>
          <w:ilvl w:val="0"/>
          <w:numId w:val="19"/>
        </w:numPr>
        <w:ind w:leftChars="0"/>
        <w:rPr>
          <w:rFonts w:ascii="Times New Roman" w:hAnsi="Times New Roman" w:cs="Times New Roman"/>
          <w:sz w:val="26"/>
          <w:szCs w:val="26"/>
        </w:rPr>
      </w:pPr>
      <w:r w:rsidRPr="00DE3DAA">
        <w:rPr>
          <w:rFonts w:ascii="Times New Roman" w:hAnsi="Times New Roman" w:cs="Times New Roman"/>
          <w:sz w:val="26"/>
          <w:szCs w:val="26"/>
        </w:rPr>
        <w:t>Regulation of personal work relations under the Major administration, 1990-97</w:t>
      </w:r>
    </w:p>
    <w:p w14:paraId="7D42F304" w14:textId="61264A24" w:rsidR="00052CCA" w:rsidRPr="00DE3DAA" w:rsidRDefault="00793843" w:rsidP="00F04349">
      <w:pPr>
        <w:pStyle w:val="a3"/>
        <w:ind w:leftChars="0" w:left="1520"/>
        <w:rPr>
          <w:rFonts w:ascii="Times New Roman" w:hAnsi="Times New Roman" w:cs="Times New Roman"/>
          <w:sz w:val="26"/>
          <w:szCs w:val="26"/>
        </w:rPr>
      </w:pPr>
      <w:r w:rsidRPr="00DE3DAA">
        <w:rPr>
          <w:rFonts w:ascii="Times New Roman" w:hAnsi="Times New Roman" w:cs="Times New Roman"/>
          <w:sz w:val="26"/>
          <w:szCs w:val="26"/>
        </w:rPr>
        <w:t xml:space="preserve">The administration of </w:t>
      </w:r>
      <w:proofErr w:type="spellStart"/>
      <w:r w:rsidRPr="00DE3DAA">
        <w:rPr>
          <w:rFonts w:ascii="Times New Roman" w:hAnsi="Times New Roman" w:cs="Times New Roman"/>
          <w:sz w:val="26"/>
          <w:szCs w:val="26"/>
        </w:rPr>
        <w:t>Mr</w:t>
      </w:r>
      <w:proofErr w:type="spellEnd"/>
      <w:r w:rsidRPr="00DE3DAA">
        <w:rPr>
          <w:rFonts w:ascii="Times New Roman" w:hAnsi="Times New Roman" w:cs="Times New Roman"/>
          <w:sz w:val="26"/>
          <w:szCs w:val="26"/>
        </w:rPr>
        <w:t xml:space="preserve"> John Major began with the resignation of </w:t>
      </w:r>
      <w:proofErr w:type="spellStart"/>
      <w:r w:rsidRPr="00DE3DAA">
        <w:rPr>
          <w:rFonts w:ascii="Times New Roman" w:hAnsi="Times New Roman" w:cs="Times New Roman"/>
          <w:sz w:val="26"/>
          <w:szCs w:val="26"/>
        </w:rPr>
        <w:t>Mrs</w:t>
      </w:r>
      <w:proofErr w:type="spellEnd"/>
      <w:r w:rsidRPr="00DE3DAA">
        <w:rPr>
          <w:rFonts w:ascii="Times New Roman" w:hAnsi="Times New Roman" w:cs="Times New Roman"/>
          <w:sz w:val="26"/>
          <w:szCs w:val="26"/>
        </w:rPr>
        <w:t xml:space="preserve"> Margaret Thatcher as Prime Minister in November 1990 and was renewed by his victory in the General Election of 1992, and then lasted until his defeat by New </w:t>
      </w:r>
      <w:proofErr w:type="spellStart"/>
      <w:r w:rsidRPr="00DE3DAA">
        <w:rPr>
          <w:rFonts w:ascii="Times New Roman" w:hAnsi="Times New Roman" w:cs="Times New Roman"/>
          <w:sz w:val="26"/>
          <w:szCs w:val="26"/>
        </w:rPr>
        <w:t>Labour</w:t>
      </w:r>
      <w:proofErr w:type="spellEnd"/>
      <w:r w:rsidRPr="00DE3DAA">
        <w:rPr>
          <w:rFonts w:ascii="Times New Roman" w:hAnsi="Times New Roman" w:cs="Times New Roman"/>
          <w:sz w:val="26"/>
          <w:szCs w:val="26"/>
        </w:rPr>
        <w:t xml:space="preserve"> in 1997. </w:t>
      </w:r>
      <w:r w:rsidR="00E237C4" w:rsidRPr="00DE3DAA">
        <w:rPr>
          <w:rFonts w:ascii="Times New Roman" w:hAnsi="Times New Roman" w:cs="Times New Roman"/>
          <w:sz w:val="26"/>
          <w:szCs w:val="26"/>
        </w:rPr>
        <w:t>The</w:t>
      </w:r>
      <w:r w:rsidR="00E84865" w:rsidRPr="00DE3DAA">
        <w:rPr>
          <w:rFonts w:ascii="Times New Roman" w:hAnsi="Times New Roman" w:cs="Times New Roman"/>
          <w:sz w:val="26"/>
          <w:szCs w:val="26"/>
        </w:rPr>
        <w:t xml:space="preserve"> administration of </w:t>
      </w:r>
      <w:proofErr w:type="spellStart"/>
      <w:r w:rsidR="00E84865" w:rsidRPr="00DE3DAA">
        <w:rPr>
          <w:rFonts w:ascii="Times New Roman" w:hAnsi="Times New Roman" w:cs="Times New Roman"/>
          <w:sz w:val="26"/>
          <w:szCs w:val="26"/>
        </w:rPr>
        <w:t>Mr</w:t>
      </w:r>
      <w:proofErr w:type="spellEnd"/>
      <w:r w:rsidR="00E84865" w:rsidRPr="00DE3DAA">
        <w:rPr>
          <w:rFonts w:ascii="Times New Roman" w:hAnsi="Times New Roman" w:cs="Times New Roman"/>
          <w:sz w:val="26"/>
          <w:szCs w:val="26"/>
        </w:rPr>
        <w:t xml:space="preserve"> John Major </w:t>
      </w:r>
      <w:r w:rsidR="00F44963" w:rsidRPr="00DE3DAA">
        <w:rPr>
          <w:rFonts w:ascii="Times New Roman" w:hAnsi="Times New Roman" w:cs="Times New Roman"/>
          <w:sz w:val="26"/>
          <w:szCs w:val="26"/>
        </w:rPr>
        <w:t xml:space="preserve">could be regarded </w:t>
      </w:r>
      <w:r w:rsidR="00F44963" w:rsidRPr="00DE3DAA">
        <w:rPr>
          <w:rFonts w:ascii="Times New Roman" w:hAnsi="Times New Roman" w:cs="Times New Roman"/>
          <w:sz w:val="26"/>
          <w:szCs w:val="26"/>
        </w:rPr>
        <w:lastRenderedPageBreak/>
        <w:t>as merely an interval between the governments which prec</w:t>
      </w:r>
      <w:r w:rsidR="0028168B" w:rsidRPr="00DE3DAA">
        <w:rPr>
          <w:rFonts w:ascii="Times New Roman" w:hAnsi="Times New Roman" w:cs="Times New Roman"/>
          <w:sz w:val="26"/>
          <w:szCs w:val="26"/>
        </w:rPr>
        <w:t xml:space="preserve">eded </w:t>
      </w:r>
      <w:r w:rsidR="00F44963" w:rsidRPr="00DE3DAA">
        <w:rPr>
          <w:rFonts w:ascii="Times New Roman" w:hAnsi="Times New Roman" w:cs="Times New Roman"/>
          <w:sz w:val="26"/>
          <w:szCs w:val="26"/>
        </w:rPr>
        <w:t xml:space="preserve">and </w:t>
      </w:r>
      <w:r w:rsidRPr="00DE3DAA">
        <w:rPr>
          <w:rFonts w:ascii="Times New Roman" w:hAnsi="Times New Roman" w:cs="Times New Roman"/>
          <w:sz w:val="26"/>
          <w:szCs w:val="26"/>
        </w:rPr>
        <w:t>then</w:t>
      </w:r>
      <w:r w:rsidR="00F44963" w:rsidRPr="00DE3DAA">
        <w:rPr>
          <w:rFonts w:ascii="Times New Roman" w:hAnsi="Times New Roman" w:cs="Times New Roman"/>
          <w:sz w:val="26"/>
          <w:szCs w:val="26"/>
        </w:rPr>
        <w:t xml:space="preserve"> followed it </w:t>
      </w:r>
      <w:r w:rsidR="0028168B" w:rsidRPr="00DE3DAA">
        <w:rPr>
          <w:rFonts w:ascii="Times New Roman" w:hAnsi="Times New Roman" w:cs="Times New Roman"/>
          <w:sz w:val="26"/>
          <w:szCs w:val="26"/>
        </w:rPr>
        <w:t xml:space="preserve">specifically </w:t>
      </w:r>
      <w:r w:rsidR="00F44963" w:rsidRPr="00DE3DAA">
        <w:rPr>
          <w:rFonts w:ascii="Times New Roman" w:hAnsi="Times New Roman" w:cs="Times New Roman"/>
          <w:sz w:val="26"/>
          <w:szCs w:val="26"/>
        </w:rPr>
        <w:t>in terms of the evaluation of the significance of this administration for the law of personal work relation</w:t>
      </w:r>
      <w:r w:rsidR="00E237C4" w:rsidRPr="00DE3DAA">
        <w:rPr>
          <w:rFonts w:ascii="Times New Roman" w:hAnsi="Times New Roman" w:cs="Times New Roman"/>
          <w:sz w:val="26"/>
          <w:szCs w:val="26"/>
        </w:rPr>
        <w:t>.</w:t>
      </w:r>
      <w:r w:rsidR="00B264A3" w:rsidRPr="00DE3DAA">
        <w:rPr>
          <w:rStyle w:val="ae"/>
          <w:rFonts w:ascii="Times New Roman" w:hAnsi="Times New Roman" w:cs="Times New Roman"/>
          <w:sz w:val="26"/>
          <w:szCs w:val="26"/>
        </w:rPr>
        <w:footnoteReference w:id="262"/>
      </w:r>
      <w:r w:rsidR="00E237C4" w:rsidRPr="00DE3DAA">
        <w:rPr>
          <w:rFonts w:ascii="Times New Roman" w:hAnsi="Times New Roman" w:cs="Times New Roman"/>
          <w:sz w:val="26"/>
          <w:szCs w:val="26"/>
        </w:rPr>
        <w:t xml:space="preserve"> </w:t>
      </w:r>
      <w:r w:rsidRPr="00DE3DAA">
        <w:rPr>
          <w:rFonts w:ascii="Times New Roman" w:hAnsi="Times New Roman" w:cs="Times New Roman"/>
          <w:sz w:val="26"/>
          <w:szCs w:val="26"/>
        </w:rPr>
        <w:t xml:space="preserve"> </w:t>
      </w:r>
    </w:p>
    <w:p w14:paraId="67AF2154" w14:textId="3853E140" w:rsidR="00351CDC" w:rsidRPr="00DE3DAA" w:rsidRDefault="00793843" w:rsidP="00F04349">
      <w:pPr>
        <w:pStyle w:val="a3"/>
        <w:ind w:leftChars="0" w:left="1520"/>
        <w:rPr>
          <w:rFonts w:ascii="Times New Roman" w:hAnsi="Times New Roman" w:cs="Times New Roman"/>
          <w:sz w:val="26"/>
          <w:szCs w:val="26"/>
        </w:rPr>
      </w:pPr>
      <w:r w:rsidRPr="00DE3DAA">
        <w:rPr>
          <w:rFonts w:ascii="Times New Roman" w:hAnsi="Times New Roman" w:cs="Times New Roman"/>
          <w:sz w:val="26"/>
          <w:szCs w:val="26"/>
        </w:rPr>
        <w:t xml:space="preserve">However, it can be stated that this administration is of no small importance with its </w:t>
      </w:r>
      <w:r w:rsidR="00456487" w:rsidRPr="00DE3DAA">
        <w:rPr>
          <w:rFonts w:ascii="Times New Roman" w:hAnsi="Times New Roman" w:cs="Times New Roman"/>
          <w:sz w:val="26"/>
          <w:szCs w:val="26"/>
        </w:rPr>
        <w:t>legislation and measures in relation to personal work relations and the politics surrounding them</w:t>
      </w:r>
      <w:r w:rsidR="005B7C6D" w:rsidRPr="00DE3DAA">
        <w:rPr>
          <w:rFonts w:ascii="Times New Roman" w:hAnsi="Times New Roman" w:cs="Times New Roman"/>
          <w:sz w:val="26"/>
          <w:szCs w:val="26"/>
        </w:rPr>
        <w:t xml:space="preserve"> and instead it</w:t>
      </w:r>
      <w:r w:rsidR="00456487" w:rsidRPr="00DE3DAA">
        <w:rPr>
          <w:rFonts w:ascii="Times New Roman" w:hAnsi="Times New Roman" w:cs="Times New Roman"/>
          <w:sz w:val="26"/>
          <w:szCs w:val="26"/>
        </w:rPr>
        <w:t xml:space="preserve"> can be seen as a bridge between Thatcherism and </w:t>
      </w:r>
      <w:proofErr w:type="spellStart"/>
      <w:r w:rsidR="00456487" w:rsidRPr="00DE3DAA">
        <w:rPr>
          <w:rFonts w:ascii="Times New Roman" w:hAnsi="Times New Roman" w:cs="Times New Roman"/>
          <w:sz w:val="26"/>
          <w:szCs w:val="26"/>
        </w:rPr>
        <w:t>Blairism</w:t>
      </w:r>
      <w:proofErr w:type="spellEnd"/>
      <w:r w:rsidR="00F10512" w:rsidRPr="00DE3DAA">
        <w:rPr>
          <w:rFonts w:ascii="Times New Roman" w:hAnsi="Times New Roman" w:cs="Times New Roman"/>
          <w:sz w:val="26"/>
          <w:szCs w:val="26"/>
        </w:rPr>
        <w:t xml:space="preserve"> in a more positive and significant sense</w:t>
      </w:r>
      <w:r w:rsidR="00456487" w:rsidRPr="00DE3DAA">
        <w:rPr>
          <w:rFonts w:ascii="Times New Roman" w:hAnsi="Times New Roman" w:cs="Times New Roman"/>
          <w:sz w:val="26"/>
          <w:szCs w:val="26"/>
        </w:rPr>
        <w:t>.</w:t>
      </w:r>
      <w:r w:rsidR="00B264A3" w:rsidRPr="00DE3DAA">
        <w:rPr>
          <w:rStyle w:val="ae"/>
          <w:rFonts w:ascii="Times New Roman" w:hAnsi="Times New Roman" w:cs="Times New Roman"/>
          <w:sz w:val="26"/>
          <w:szCs w:val="26"/>
        </w:rPr>
        <w:footnoteReference w:id="263"/>
      </w:r>
      <w:r w:rsidR="00F10512" w:rsidRPr="00DE3DAA">
        <w:rPr>
          <w:rFonts w:ascii="Times New Roman" w:hAnsi="Times New Roman" w:cs="Times New Roman"/>
          <w:sz w:val="26"/>
          <w:szCs w:val="26"/>
        </w:rPr>
        <w:t xml:space="preserve"> </w:t>
      </w:r>
      <w:r w:rsidR="00854664" w:rsidRPr="00DE3DAA">
        <w:rPr>
          <w:rFonts w:ascii="Times New Roman" w:hAnsi="Times New Roman" w:cs="Times New Roman"/>
          <w:sz w:val="26"/>
          <w:szCs w:val="26"/>
        </w:rPr>
        <w:t>During this period, the rhetoric of government policy was dominated by the theme of de-regulation and the pursuit of de-regulation policy intimately bound up with the tempering of EC legislation.</w:t>
      </w:r>
      <w:r w:rsidR="00B264A3" w:rsidRPr="00DE3DAA">
        <w:rPr>
          <w:rStyle w:val="ae"/>
          <w:rFonts w:ascii="Times New Roman" w:hAnsi="Times New Roman" w:cs="Times New Roman"/>
          <w:sz w:val="26"/>
          <w:szCs w:val="26"/>
        </w:rPr>
        <w:footnoteReference w:id="264"/>
      </w:r>
      <w:r w:rsidR="00854664" w:rsidRPr="00DE3DAA">
        <w:rPr>
          <w:rFonts w:ascii="Times New Roman" w:hAnsi="Times New Roman" w:cs="Times New Roman"/>
          <w:sz w:val="26"/>
          <w:szCs w:val="26"/>
        </w:rPr>
        <w:t xml:space="preserve"> In fa</w:t>
      </w:r>
      <w:r w:rsidR="00B204C3" w:rsidRPr="00DE3DAA">
        <w:rPr>
          <w:rFonts w:ascii="Times New Roman" w:hAnsi="Times New Roman" w:cs="Times New Roman"/>
          <w:sz w:val="26"/>
          <w:szCs w:val="26"/>
        </w:rPr>
        <w:t xml:space="preserve">ct, it can be seen </w:t>
      </w:r>
      <w:r w:rsidR="00854664" w:rsidRPr="00DE3DAA">
        <w:rPr>
          <w:rFonts w:ascii="Times New Roman" w:hAnsi="Times New Roman" w:cs="Times New Roman"/>
          <w:sz w:val="26"/>
          <w:szCs w:val="26"/>
        </w:rPr>
        <w:t>that the policy of de-regulation became largely identified with the politics of resistance to EC social legislation</w:t>
      </w:r>
      <w:r w:rsidR="00B204C3" w:rsidRPr="00DE3DAA">
        <w:rPr>
          <w:rFonts w:ascii="Times New Roman" w:hAnsi="Times New Roman" w:cs="Times New Roman"/>
          <w:sz w:val="26"/>
          <w:szCs w:val="26"/>
        </w:rPr>
        <w:t xml:space="preserve"> and with the minimal implementation of such EC social legislation </w:t>
      </w:r>
      <w:r w:rsidR="00F374C9" w:rsidRPr="00DE3DAA">
        <w:rPr>
          <w:rFonts w:ascii="Times New Roman" w:hAnsi="Times New Roman" w:cs="Times New Roman"/>
          <w:sz w:val="26"/>
          <w:szCs w:val="26"/>
        </w:rPr>
        <w:t>when could not</w:t>
      </w:r>
      <w:r w:rsidR="00B204C3" w:rsidRPr="00DE3DAA">
        <w:rPr>
          <w:rFonts w:ascii="Times New Roman" w:hAnsi="Times New Roman" w:cs="Times New Roman"/>
          <w:sz w:val="26"/>
          <w:szCs w:val="26"/>
        </w:rPr>
        <w:t xml:space="preserve"> be completely resisted</w:t>
      </w:r>
      <w:r w:rsidR="00854664" w:rsidRPr="00DE3DAA">
        <w:rPr>
          <w:rFonts w:ascii="Times New Roman" w:hAnsi="Times New Roman" w:cs="Times New Roman"/>
          <w:sz w:val="26"/>
          <w:szCs w:val="26"/>
        </w:rPr>
        <w:t>.</w:t>
      </w:r>
      <w:r w:rsidR="00B264A3" w:rsidRPr="00DE3DAA">
        <w:rPr>
          <w:rStyle w:val="ae"/>
          <w:rFonts w:ascii="Times New Roman" w:hAnsi="Times New Roman" w:cs="Times New Roman"/>
          <w:sz w:val="26"/>
          <w:szCs w:val="26"/>
        </w:rPr>
        <w:footnoteReference w:id="265"/>
      </w:r>
      <w:r w:rsidR="00887D14" w:rsidRPr="00DE3DAA">
        <w:rPr>
          <w:rFonts w:ascii="Times New Roman" w:hAnsi="Times New Roman" w:cs="Times New Roman"/>
          <w:sz w:val="26"/>
          <w:szCs w:val="26"/>
        </w:rPr>
        <w:t xml:space="preserve"> </w:t>
      </w:r>
      <w:r w:rsidR="00EE263A" w:rsidRPr="00DE3DAA">
        <w:rPr>
          <w:rFonts w:ascii="Times New Roman" w:hAnsi="Times New Roman" w:cs="Times New Roman"/>
          <w:sz w:val="26"/>
          <w:szCs w:val="26"/>
        </w:rPr>
        <w:t>That is, t</w:t>
      </w:r>
      <w:r w:rsidR="006A1369" w:rsidRPr="00DE3DAA">
        <w:rPr>
          <w:rFonts w:ascii="Times New Roman" w:hAnsi="Times New Roman" w:cs="Times New Roman"/>
          <w:sz w:val="26"/>
          <w:szCs w:val="26"/>
        </w:rPr>
        <w:t>he politics of de-regulation were focused on standing still in the face of the onward march of EC social policy.</w:t>
      </w:r>
      <w:r w:rsidR="00B264A3" w:rsidRPr="00DE3DAA">
        <w:rPr>
          <w:rStyle w:val="ae"/>
          <w:rFonts w:ascii="Times New Roman" w:hAnsi="Times New Roman" w:cs="Times New Roman"/>
          <w:sz w:val="26"/>
          <w:szCs w:val="26"/>
        </w:rPr>
        <w:footnoteReference w:id="266"/>
      </w:r>
      <w:r w:rsidR="006A1369" w:rsidRPr="00DE3DAA">
        <w:rPr>
          <w:rFonts w:ascii="Times New Roman" w:hAnsi="Times New Roman" w:cs="Times New Roman"/>
          <w:sz w:val="26"/>
          <w:szCs w:val="26"/>
        </w:rPr>
        <w:t xml:space="preserve"> </w:t>
      </w:r>
      <w:r w:rsidR="00A429BD" w:rsidRPr="00DE3DAA">
        <w:rPr>
          <w:rFonts w:ascii="Times New Roman" w:hAnsi="Times New Roman" w:cs="Times New Roman"/>
          <w:sz w:val="26"/>
          <w:szCs w:val="26"/>
        </w:rPr>
        <w:t>This politics of de-regulation w</w:t>
      </w:r>
      <w:r w:rsidR="000A5D28" w:rsidRPr="00DE3DAA">
        <w:rPr>
          <w:rFonts w:ascii="Times New Roman" w:hAnsi="Times New Roman" w:cs="Times New Roman"/>
          <w:sz w:val="26"/>
          <w:szCs w:val="26"/>
        </w:rPr>
        <w:t>as</w:t>
      </w:r>
      <w:r w:rsidR="00A429BD" w:rsidRPr="00DE3DAA">
        <w:rPr>
          <w:rFonts w:ascii="Times New Roman" w:hAnsi="Times New Roman" w:cs="Times New Roman"/>
          <w:sz w:val="26"/>
          <w:szCs w:val="26"/>
        </w:rPr>
        <w:t xml:space="preserve"> illustrated through on-going political </w:t>
      </w:r>
      <w:r w:rsidR="000A5D28" w:rsidRPr="00DE3DAA">
        <w:rPr>
          <w:rFonts w:ascii="Times New Roman" w:hAnsi="Times New Roman" w:cs="Times New Roman"/>
          <w:sz w:val="26"/>
          <w:szCs w:val="26"/>
        </w:rPr>
        <w:t>incidents which came with the refusal of the UK government to participate in the adoption</w:t>
      </w:r>
      <w:r w:rsidR="009A57E0" w:rsidRPr="00DE3DAA">
        <w:rPr>
          <w:rFonts w:ascii="Times New Roman" w:hAnsi="Times New Roman" w:cs="Times New Roman"/>
          <w:sz w:val="26"/>
          <w:szCs w:val="26"/>
        </w:rPr>
        <w:t xml:space="preserve"> of the European Community Charter of Fundamental Social Rights of Workers</w:t>
      </w:r>
      <w:r w:rsidR="000A5D28" w:rsidRPr="00DE3DAA">
        <w:rPr>
          <w:rFonts w:ascii="Times New Roman" w:hAnsi="Times New Roman" w:cs="Times New Roman"/>
          <w:sz w:val="26"/>
          <w:szCs w:val="26"/>
        </w:rPr>
        <w:t xml:space="preserve"> in December 1989, </w:t>
      </w:r>
      <w:r w:rsidR="009A57E0" w:rsidRPr="00DE3DAA">
        <w:rPr>
          <w:rFonts w:ascii="Times New Roman" w:hAnsi="Times New Roman" w:cs="Times New Roman"/>
          <w:sz w:val="26"/>
          <w:szCs w:val="26"/>
        </w:rPr>
        <w:t xml:space="preserve">and the negotiation </w:t>
      </w:r>
      <w:r w:rsidR="000A5D28" w:rsidRPr="00DE3DAA">
        <w:rPr>
          <w:rFonts w:ascii="Times New Roman" w:hAnsi="Times New Roman" w:cs="Times New Roman"/>
          <w:sz w:val="26"/>
          <w:szCs w:val="26"/>
        </w:rPr>
        <w:t xml:space="preserve">of </w:t>
      </w:r>
      <w:r w:rsidR="009A57E0" w:rsidRPr="00DE3DAA">
        <w:rPr>
          <w:rFonts w:ascii="Times New Roman" w:hAnsi="Times New Roman" w:cs="Times New Roman"/>
          <w:sz w:val="26"/>
          <w:szCs w:val="26"/>
        </w:rPr>
        <w:t>an agreement upon the terms of the Treaty of Maastricht completed in December 1991.</w:t>
      </w:r>
      <w:r w:rsidR="00B264A3" w:rsidRPr="00DE3DAA">
        <w:rPr>
          <w:rStyle w:val="ae"/>
          <w:rFonts w:ascii="Times New Roman" w:hAnsi="Times New Roman" w:cs="Times New Roman"/>
          <w:sz w:val="26"/>
          <w:szCs w:val="26"/>
        </w:rPr>
        <w:footnoteReference w:id="267"/>
      </w:r>
      <w:r w:rsidR="009A57E0" w:rsidRPr="00DE3DAA">
        <w:rPr>
          <w:rFonts w:ascii="Times New Roman" w:hAnsi="Times New Roman" w:cs="Times New Roman"/>
          <w:sz w:val="26"/>
          <w:szCs w:val="26"/>
        </w:rPr>
        <w:t xml:space="preserve"> This agreement was</w:t>
      </w:r>
      <w:r w:rsidR="005E4177" w:rsidRPr="00DE3DAA">
        <w:rPr>
          <w:rFonts w:ascii="Times New Roman" w:hAnsi="Times New Roman" w:cs="Times New Roman"/>
          <w:sz w:val="26"/>
          <w:szCs w:val="26"/>
        </w:rPr>
        <w:t xml:space="preserve"> aimed </w:t>
      </w:r>
      <w:r w:rsidR="009A57E0" w:rsidRPr="00DE3DAA">
        <w:rPr>
          <w:rFonts w:ascii="Times New Roman" w:hAnsi="Times New Roman" w:cs="Times New Roman"/>
          <w:sz w:val="26"/>
          <w:szCs w:val="26"/>
        </w:rPr>
        <w:t xml:space="preserve">for an arrangement whereby the UK would not be bound by the provisions </w:t>
      </w:r>
      <w:r w:rsidR="00C959A0" w:rsidRPr="00DE3DAA">
        <w:rPr>
          <w:rFonts w:ascii="Times New Roman" w:hAnsi="Times New Roman" w:cs="Times New Roman"/>
          <w:sz w:val="26"/>
          <w:szCs w:val="26"/>
        </w:rPr>
        <w:t xml:space="preserve">having been </w:t>
      </w:r>
      <w:r w:rsidR="009A57E0" w:rsidRPr="00DE3DAA">
        <w:rPr>
          <w:rFonts w:ascii="Times New Roman" w:hAnsi="Times New Roman" w:cs="Times New Roman"/>
          <w:sz w:val="26"/>
          <w:szCs w:val="26"/>
        </w:rPr>
        <w:t>proposed as the so-called Social Chapter of that Treaty, but</w:t>
      </w:r>
      <w:r w:rsidR="00C959A0" w:rsidRPr="00DE3DAA">
        <w:rPr>
          <w:rFonts w:ascii="Times New Roman" w:hAnsi="Times New Roman" w:cs="Times New Roman"/>
          <w:sz w:val="26"/>
          <w:szCs w:val="26"/>
        </w:rPr>
        <w:t xml:space="preserve"> by reason of the British opt-out from those provisions,</w:t>
      </w:r>
      <w:r w:rsidR="009A57E0" w:rsidRPr="00DE3DAA">
        <w:rPr>
          <w:rFonts w:ascii="Times New Roman" w:hAnsi="Times New Roman" w:cs="Times New Roman"/>
          <w:sz w:val="26"/>
          <w:szCs w:val="26"/>
        </w:rPr>
        <w:t xml:space="preserve"> </w:t>
      </w:r>
      <w:r w:rsidR="00C959A0" w:rsidRPr="00DE3DAA">
        <w:rPr>
          <w:rFonts w:ascii="Times New Roman" w:hAnsi="Times New Roman" w:cs="Times New Roman"/>
          <w:sz w:val="26"/>
          <w:szCs w:val="26"/>
        </w:rPr>
        <w:t xml:space="preserve">taking the form of a </w:t>
      </w:r>
      <w:r w:rsidR="00C959A0" w:rsidRPr="00DE3DAA">
        <w:rPr>
          <w:rFonts w:ascii="Times New Roman" w:hAnsi="Times New Roman" w:cs="Times New Roman"/>
          <w:sz w:val="26"/>
          <w:szCs w:val="26"/>
        </w:rPr>
        <w:lastRenderedPageBreak/>
        <w:t>Protocol agreed between and applying between the remaining eleven Member States</w:t>
      </w:r>
      <w:r w:rsidR="009A57E0" w:rsidRPr="00DE3DAA">
        <w:rPr>
          <w:rFonts w:ascii="Times New Roman" w:hAnsi="Times New Roman" w:cs="Times New Roman"/>
          <w:sz w:val="26"/>
          <w:szCs w:val="26"/>
        </w:rPr>
        <w:t>.</w:t>
      </w:r>
      <w:r w:rsidR="00B264A3" w:rsidRPr="00DE3DAA">
        <w:rPr>
          <w:rStyle w:val="ae"/>
          <w:rFonts w:ascii="Times New Roman" w:hAnsi="Times New Roman" w:cs="Times New Roman"/>
          <w:sz w:val="26"/>
          <w:szCs w:val="26"/>
        </w:rPr>
        <w:footnoteReference w:id="268"/>
      </w:r>
      <w:r w:rsidR="005E4177" w:rsidRPr="00DE3DAA">
        <w:rPr>
          <w:rFonts w:ascii="Times New Roman" w:hAnsi="Times New Roman" w:cs="Times New Roman"/>
          <w:sz w:val="26"/>
          <w:szCs w:val="26"/>
        </w:rPr>
        <w:t xml:space="preserve"> </w:t>
      </w:r>
      <w:r w:rsidR="00B32447" w:rsidRPr="00DE3DAA">
        <w:rPr>
          <w:rFonts w:ascii="Times New Roman" w:hAnsi="Times New Roman" w:cs="Times New Roman"/>
          <w:sz w:val="26"/>
          <w:szCs w:val="26"/>
        </w:rPr>
        <w:t>So far as the law of personal work relations were concern</w:t>
      </w:r>
      <w:r w:rsidR="0069060C" w:rsidRPr="00DE3DAA">
        <w:rPr>
          <w:rFonts w:ascii="Times New Roman" w:hAnsi="Times New Roman" w:cs="Times New Roman"/>
          <w:sz w:val="26"/>
          <w:szCs w:val="26"/>
        </w:rPr>
        <w:t>ed, t</w:t>
      </w:r>
      <w:r w:rsidR="00840A61" w:rsidRPr="00DE3DAA">
        <w:rPr>
          <w:rFonts w:ascii="Times New Roman" w:hAnsi="Times New Roman" w:cs="Times New Roman"/>
          <w:sz w:val="26"/>
          <w:szCs w:val="26"/>
        </w:rPr>
        <w:t>he making of the latter agreement</w:t>
      </w:r>
      <w:r w:rsidR="0069060C" w:rsidRPr="00DE3DAA">
        <w:rPr>
          <w:rFonts w:ascii="Times New Roman" w:hAnsi="Times New Roman" w:cs="Times New Roman"/>
          <w:sz w:val="26"/>
          <w:szCs w:val="26"/>
        </w:rPr>
        <w:t xml:space="preserve"> </w:t>
      </w:r>
      <w:r w:rsidR="00625A06" w:rsidRPr="00DE3DAA">
        <w:rPr>
          <w:rFonts w:ascii="Times New Roman" w:hAnsi="Times New Roman" w:cs="Times New Roman"/>
          <w:sz w:val="26"/>
          <w:szCs w:val="26"/>
        </w:rPr>
        <w:t xml:space="preserve">arguably </w:t>
      </w:r>
      <w:r w:rsidR="0069060C" w:rsidRPr="00DE3DAA">
        <w:rPr>
          <w:rFonts w:ascii="Times New Roman" w:hAnsi="Times New Roman" w:cs="Times New Roman"/>
          <w:sz w:val="26"/>
          <w:szCs w:val="26"/>
        </w:rPr>
        <w:t xml:space="preserve">could be </w:t>
      </w:r>
      <w:r w:rsidR="00840A61" w:rsidRPr="00DE3DAA">
        <w:rPr>
          <w:rFonts w:ascii="Times New Roman" w:hAnsi="Times New Roman" w:cs="Times New Roman"/>
          <w:sz w:val="26"/>
          <w:szCs w:val="26"/>
        </w:rPr>
        <w:t>said the crucial event of the Major administration, both because it represented the moment at which the Prime Minister decisively took up his stance with regard to that body of law, and because of the practical outcomes which resulted from it.</w:t>
      </w:r>
      <w:r w:rsidR="00B264A3" w:rsidRPr="00DE3DAA">
        <w:rPr>
          <w:rStyle w:val="ae"/>
          <w:rFonts w:ascii="Times New Roman" w:hAnsi="Times New Roman" w:cs="Times New Roman"/>
          <w:sz w:val="26"/>
          <w:szCs w:val="26"/>
        </w:rPr>
        <w:footnoteReference w:id="269"/>
      </w:r>
      <w:r w:rsidR="000F3930" w:rsidRPr="00DE3DAA">
        <w:rPr>
          <w:rFonts w:ascii="Times New Roman" w:hAnsi="Times New Roman" w:cs="Times New Roman"/>
          <w:sz w:val="26"/>
          <w:szCs w:val="26"/>
        </w:rPr>
        <w:t xml:space="preserve"> If the Social Chapter had been embodied in the Treaty itself, th</w:t>
      </w:r>
      <w:r w:rsidR="00B009B9" w:rsidRPr="00DE3DAA">
        <w:rPr>
          <w:rFonts w:ascii="Times New Roman" w:hAnsi="Times New Roman" w:cs="Times New Roman"/>
          <w:sz w:val="26"/>
          <w:szCs w:val="26"/>
        </w:rPr>
        <w:t>e enactment which would have been made by all twelve Member States</w:t>
      </w:r>
      <w:r w:rsidR="000F3930" w:rsidRPr="00DE3DAA">
        <w:rPr>
          <w:rFonts w:ascii="Times New Roman" w:hAnsi="Times New Roman" w:cs="Times New Roman"/>
          <w:sz w:val="26"/>
          <w:szCs w:val="26"/>
        </w:rPr>
        <w:t xml:space="preserve">. The enactment in fact made by the other eleven in the Social Policy Protocol was to create a new and expanded framework or set of competences for social policy legislation to be approved </w:t>
      </w:r>
      <w:r w:rsidR="00B009B9" w:rsidRPr="00DE3DAA">
        <w:rPr>
          <w:rFonts w:ascii="Times New Roman" w:hAnsi="Times New Roman" w:cs="Times New Roman"/>
          <w:sz w:val="26"/>
          <w:szCs w:val="26"/>
        </w:rPr>
        <w:t xml:space="preserve">by qualified majority </w:t>
      </w:r>
      <w:r w:rsidR="00A83898" w:rsidRPr="00DE3DAA">
        <w:rPr>
          <w:rFonts w:ascii="Times New Roman" w:hAnsi="Times New Roman" w:cs="Times New Roman"/>
          <w:sz w:val="26"/>
          <w:szCs w:val="26"/>
        </w:rPr>
        <w:t>voting rather than by unanimous voting in the Council of Ministers</w:t>
      </w:r>
      <w:r w:rsidR="00E77E21" w:rsidRPr="00DE3DAA">
        <w:rPr>
          <w:rFonts w:ascii="Times New Roman" w:hAnsi="Times New Roman" w:cs="Times New Roman"/>
          <w:sz w:val="26"/>
          <w:szCs w:val="26"/>
        </w:rPr>
        <w:t xml:space="preserve">, and was also to commit the Community to giving effect by means of Directives to agreements made </w:t>
      </w:r>
      <w:r w:rsidR="00A83898" w:rsidRPr="00DE3DAA">
        <w:rPr>
          <w:rFonts w:ascii="Times New Roman" w:hAnsi="Times New Roman" w:cs="Times New Roman"/>
          <w:sz w:val="26"/>
          <w:szCs w:val="26"/>
        </w:rPr>
        <w:t xml:space="preserve">between the European Social Partners, that is to say, the </w:t>
      </w:r>
      <w:proofErr w:type="spellStart"/>
      <w:r w:rsidR="00A83898" w:rsidRPr="00DE3DAA">
        <w:rPr>
          <w:rFonts w:ascii="Times New Roman" w:hAnsi="Times New Roman" w:cs="Times New Roman"/>
          <w:sz w:val="26"/>
          <w:szCs w:val="26"/>
        </w:rPr>
        <w:t>organisations</w:t>
      </w:r>
      <w:proofErr w:type="spellEnd"/>
      <w:r w:rsidR="00A83898" w:rsidRPr="00DE3DAA">
        <w:rPr>
          <w:rFonts w:ascii="Times New Roman" w:hAnsi="Times New Roman" w:cs="Times New Roman"/>
          <w:sz w:val="26"/>
          <w:szCs w:val="26"/>
        </w:rPr>
        <w:t xml:space="preserve"> representing employers and workers at European level, under the EC Social Dialogue arrangements.</w:t>
      </w:r>
      <w:r w:rsidR="00B264A3" w:rsidRPr="00DE3DAA">
        <w:rPr>
          <w:rStyle w:val="ae"/>
          <w:rFonts w:ascii="Times New Roman" w:hAnsi="Times New Roman" w:cs="Times New Roman"/>
          <w:sz w:val="26"/>
          <w:szCs w:val="26"/>
        </w:rPr>
        <w:footnoteReference w:id="270"/>
      </w:r>
      <w:r w:rsidR="006213CA" w:rsidRPr="00DE3DAA">
        <w:rPr>
          <w:rFonts w:ascii="Times New Roman" w:hAnsi="Times New Roman" w:cs="Times New Roman"/>
          <w:sz w:val="26"/>
          <w:szCs w:val="26"/>
        </w:rPr>
        <w:t xml:space="preserve"> </w:t>
      </w:r>
      <w:proofErr w:type="spellStart"/>
      <w:r w:rsidR="00BE3EF3" w:rsidRPr="00DE3DAA">
        <w:rPr>
          <w:rFonts w:ascii="Times New Roman" w:hAnsi="Times New Roman" w:cs="Times New Roman"/>
          <w:sz w:val="26"/>
          <w:szCs w:val="26"/>
        </w:rPr>
        <w:t>Mr</w:t>
      </w:r>
      <w:proofErr w:type="spellEnd"/>
      <w:r w:rsidR="00BE3EF3" w:rsidRPr="00DE3DAA">
        <w:rPr>
          <w:rFonts w:ascii="Times New Roman" w:hAnsi="Times New Roman" w:cs="Times New Roman"/>
          <w:sz w:val="26"/>
          <w:szCs w:val="26"/>
        </w:rPr>
        <w:t xml:space="preserve"> Major </w:t>
      </w:r>
      <w:r w:rsidR="00A0126A" w:rsidRPr="00DE3DAA">
        <w:rPr>
          <w:rFonts w:ascii="Times New Roman" w:hAnsi="Times New Roman" w:cs="Times New Roman"/>
          <w:sz w:val="26"/>
          <w:szCs w:val="26"/>
        </w:rPr>
        <w:t>regarded</w:t>
      </w:r>
      <w:r w:rsidR="00BE3EF3" w:rsidRPr="00DE3DAA">
        <w:rPr>
          <w:rFonts w:ascii="Times New Roman" w:hAnsi="Times New Roman" w:cs="Times New Roman"/>
          <w:sz w:val="26"/>
          <w:szCs w:val="26"/>
        </w:rPr>
        <w:t xml:space="preserve"> it as a</w:t>
      </w:r>
      <w:r w:rsidR="00996F4F" w:rsidRPr="00DE3DAA">
        <w:rPr>
          <w:rFonts w:ascii="Times New Roman" w:hAnsi="Times New Roman" w:cs="Times New Roman"/>
          <w:sz w:val="26"/>
          <w:szCs w:val="26"/>
        </w:rPr>
        <w:t>n</w:t>
      </w:r>
      <w:r w:rsidR="00BE3EF3" w:rsidRPr="00DE3DAA">
        <w:rPr>
          <w:rFonts w:ascii="Times New Roman" w:hAnsi="Times New Roman" w:cs="Times New Roman"/>
          <w:sz w:val="26"/>
          <w:szCs w:val="26"/>
        </w:rPr>
        <w:t xml:space="preserve"> achievement of the first importance </w:t>
      </w:r>
      <w:r w:rsidR="00996F4F" w:rsidRPr="00DE3DAA">
        <w:rPr>
          <w:rFonts w:ascii="Times New Roman" w:hAnsi="Times New Roman" w:cs="Times New Roman"/>
          <w:sz w:val="26"/>
          <w:szCs w:val="26"/>
        </w:rPr>
        <w:t>to have ensured that the United Kingdom would not be subject to Community legislation enacted under this process</w:t>
      </w:r>
      <w:r w:rsidR="00351CDC" w:rsidRPr="00DE3DAA">
        <w:rPr>
          <w:rFonts w:ascii="Times New Roman" w:hAnsi="Times New Roman" w:cs="Times New Roman"/>
          <w:sz w:val="26"/>
          <w:szCs w:val="26"/>
        </w:rPr>
        <w:t>.</w:t>
      </w:r>
      <w:r w:rsidR="00B264A3" w:rsidRPr="00DE3DAA">
        <w:rPr>
          <w:rStyle w:val="ae"/>
          <w:rFonts w:ascii="Times New Roman" w:hAnsi="Times New Roman" w:cs="Times New Roman"/>
          <w:sz w:val="26"/>
          <w:szCs w:val="26"/>
        </w:rPr>
        <w:footnoteReference w:id="271"/>
      </w:r>
      <w:r w:rsidR="001D7897" w:rsidRPr="00DE3DAA">
        <w:rPr>
          <w:rFonts w:ascii="Times New Roman" w:hAnsi="Times New Roman" w:cs="Times New Roman"/>
          <w:sz w:val="26"/>
          <w:szCs w:val="26"/>
        </w:rPr>
        <w:t xml:space="preserve"> </w:t>
      </w:r>
      <w:r w:rsidR="00327909" w:rsidRPr="00DE3DAA">
        <w:rPr>
          <w:rFonts w:ascii="Times New Roman" w:hAnsi="Times New Roman" w:cs="Times New Roman"/>
          <w:sz w:val="26"/>
          <w:szCs w:val="26"/>
        </w:rPr>
        <w:t>Even though it can be hard to say how much social policy legislation was enacted under the Social Dialogue process which was instituted by the Protocol, therefore affecting the other eleven member states but not the UK, the only such legislation during the period of the Major administration was the Parental Leave Directive of 1996.</w:t>
      </w:r>
      <w:r w:rsidR="00B264A3" w:rsidRPr="00DE3DAA">
        <w:rPr>
          <w:rStyle w:val="ae"/>
          <w:rFonts w:ascii="Times New Roman" w:hAnsi="Times New Roman" w:cs="Times New Roman"/>
          <w:sz w:val="26"/>
          <w:szCs w:val="26"/>
        </w:rPr>
        <w:footnoteReference w:id="272"/>
      </w:r>
      <w:r w:rsidR="00A07655" w:rsidRPr="00DE3DAA">
        <w:rPr>
          <w:rFonts w:ascii="Times New Roman" w:hAnsi="Times New Roman" w:cs="Times New Roman"/>
          <w:sz w:val="26"/>
          <w:szCs w:val="26"/>
        </w:rPr>
        <w:t xml:space="preserve"> </w:t>
      </w:r>
      <w:r w:rsidR="001F2BE0" w:rsidRPr="00DE3DAA">
        <w:rPr>
          <w:rFonts w:ascii="Times New Roman" w:hAnsi="Times New Roman" w:cs="Times New Roman"/>
          <w:sz w:val="26"/>
          <w:szCs w:val="26"/>
        </w:rPr>
        <w:t xml:space="preserve">The more important respect in which the British opt-out seems to have affected the course of legislative history is in relation to the </w:t>
      </w:r>
      <w:r w:rsidR="001F2BE0" w:rsidRPr="00DE3DAA">
        <w:rPr>
          <w:rFonts w:ascii="Times New Roman" w:hAnsi="Times New Roman" w:cs="Times New Roman"/>
          <w:sz w:val="26"/>
          <w:szCs w:val="26"/>
        </w:rPr>
        <w:lastRenderedPageBreak/>
        <w:t xml:space="preserve">regulation of working time. </w:t>
      </w:r>
      <w:r w:rsidR="006F6ACD" w:rsidRPr="00DE3DAA">
        <w:rPr>
          <w:rFonts w:ascii="Times New Roman" w:hAnsi="Times New Roman" w:cs="Times New Roman"/>
          <w:sz w:val="26"/>
          <w:szCs w:val="26"/>
        </w:rPr>
        <w:t xml:space="preserve">By the time of the negotiation of the </w:t>
      </w:r>
      <w:proofErr w:type="spellStart"/>
      <w:r w:rsidR="006F6ACD" w:rsidRPr="00DE3DAA">
        <w:rPr>
          <w:rFonts w:ascii="Times New Roman" w:hAnsi="Times New Roman" w:cs="Times New Roman"/>
          <w:sz w:val="26"/>
          <w:szCs w:val="26"/>
        </w:rPr>
        <w:t>Masstricht</w:t>
      </w:r>
      <w:proofErr w:type="spellEnd"/>
      <w:r w:rsidR="006F6ACD" w:rsidRPr="00DE3DAA">
        <w:rPr>
          <w:rFonts w:ascii="Times New Roman" w:hAnsi="Times New Roman" w:cs="Times New Roman"/>
          <w:sz w:val="26"/>
          <w:szCs w:val="26"/>
        </w:rPr>
        <w:t xml:space="preserve"> Treaty, the UK government was already leading a long struggle either to resist or to water down proposals for a Directive on working time.</w:t>
      </w:r>
      <w:r w:rsidR="00AE17A6" w:rsidRPr="00DE3DAA">
        <w:rPr>
          <w:rStyle w:val="ae"/>
          <w:rFonts w:ascii="Times New Roman" w:hAnsi="Times New Roman" w:cs="Times New Roman"/>
          <w:sz w:val="26"/>
          <w:szCs w:val="26"/>
        </w:rPr>
        <w:footnoteReference w:id="273"/>
      </w:r>
      <w:r w:rsidR="00976287" w:rsidRPr="00DE3DAA">
        <w:rPr>
          <w:rFonts w:ascii="Times New Roman" w:hAnsi="Times New Roman" w:cs="Times New Roman"/>
          <w:sz w:val="26"/>
          <w:szCs w:val="26"/>
        </w:rPr>
        <w:t xml:space="preserve"> It seems highly likely that, if the Treaty had included the Social Chapter, the European Commission would strongly have wished to invoke the enhanced legislative competence, which </w:t>
      </w:r>
      <w:r w:rsidR="005F3DDD" w:rsidRPr="00DE3DAA">
        <w:rPr>
          <w:rFonts w:ascii="Times New Roman" w:hAnsi="Times New Roman" w:cs="Times New Roman"/>
          <w:sz w:val="26"/>
          <w:szCs w:val="26"/>
        </w:rPr>
        <w:t>it would have confer</w:t>
      </w:r>
      <w:r w:rsidR="00B64910" w:rsidRPr="00DE3DAA">
        <w:rPr>
          <w:rFonts w:ascii="Times New Roman" w:hAnsi="Times New Roman" w:cs="Times New Roman"/>
          <w:sz w:val="26"/>
          <w:szCs w:val="26"/>
        </w:rPr>
        <w:t>red, to secure the enactment by qualified majority voting of such a Directive in a way which would have been binding upon all the Member States.</w:t>
      </w:r>
      <w:r w:rsidR="00AE17A6" w:rsidRPr="00DE3DAA">
        <w:rPr>
          <w:rStyle w:val="ae"/>
          <w:rFonts w:ascii="Times New Roman" w:hAnsi="Times New Roman" w:cs="Times New Roman"/>
          <w:sz w:val="26"/>
          <w:szCs w:val="26"/>
        </w:rPr>
        <w:footnoteReference w:id="274"/>
      </w:r>
    </w:p>
    <w:p w14:paraId="1ABE03ED" w14:textId="62A0B3EF" w:rsidR="00840A61" w:rsidRPr="00DE3DAA" w:rsidRDefault="00774493" w:rsidP="00F04349">
      <w:pPr>
        <w:pStyle w:val="a3"/>
        <w:ind w:leftChars="0" w:left="1520"/>
        <w:rPr>
          <w:rFonts w:ascii="Times New Roman" w:eastAsia="맑은 고딕" w:hAnsi="Times New Roman" w:cs="Times New Roman"/>
          <w:sz w:val="26"/>
          <w:szCs w:val="26"/>
        </w:rPr>
      </w:pPr>
      <w:r w:rsidRPr="00DE3DAA">
        <w:rPr>
          <w:rFonts w:ascii="Times New Roman" w:hAnsi="Times New Roman" w:cs="Times New Roman"/>
          <w:sz w:val="26"/>
          <w:szCs w:val="26"/>
        </w:rPr>
        <w:t>The E</w:t>
      </w:r>
      <w:r w:rsidR="009001DA" w:rsidRPr="00DE3DAA">
        <w:rPr>
          <w:rFonts w:ascii="Times New Roman" w:hAnsi="Times New Roman" w:cs="Times New Roman"/>
          <w:sz w:val="26"/>
          <w:szCs w:val="26"/>
        </w:rPr>
        <w:t>uropean Commission, in the very different legislative environment of the British</w:t>
      </w:r>
      <w:r w:rsidR="00A07AC7" w:rsidRPr="00DE3DAA">
        <w:rPr>
          <w:rFonts w:ascii="Times New Roman" w:hAnsi="Times New Roman" w:cs="Times New Roman"/>
          <w:sz w:val="26"/>
          <w:szCs w:val="26"/>
        </w:rPr>
        <w:t xml:space="preserve"> opt-out,</w:t>
      </w:r>
      <w:r w:rsidR="003E59F4" w:rsidRPr="00DE3DAA">
        <w:rPr>
          <w:rFonts w:ascii="Times New Roman" w:hAnsi="Times New Roman" w:cs="Times New Roman"/>
          <w:sz w:val="26"/>
          <w:szCs w:val="26"/>
        </w:rPr>
        <w:t xml:space="preserve"> chose to pursue</w:t>
      </w:r>
      <w:r w:rsidR="00662F0B" w:rsidRPr="00DE3DAA">
        <w:rPr>
          <w:rFonts w:ascii="Times New Roman" w:hAnsi="Times New Roman" w:cs="Times New Roman"/>
          <w:sz w:val="26"/>
          <w:szCs w:val="26"/>
        </w:rPr>
        <w:t xml:space="preserve"> the</w:t>
      </w:r>
      <w:r w:rsidR="00A07AC7" w:rsidRPr="00DE3DAA">
        <w:rPr>
          <w:rFonts w:ascii="Times New Roman" w:hAnsi="Times New Roman" w:cs="Times New Roman"/>
          <w:sz w:val="26"/>
          <w:szCs w:val="26"/>
        </w:rPr>
        <w:t xml:space="preserve"> </w:t>
      </w:r>
      <w:r w:rsidR="00662F0B" w:rsidRPr="00DE3DAA">
        <w:rPr>
          <w:rFonts w:ascii="Times New Roman" w:hAnsi="Times New Roman" w:cs="Times New Roman"/>
          <w:sz w:val="26"/>
          <w:szCs w:val="26"/>
        </w:rPr>
        <w:t xml:space="preserve">more contentious and insecure route of reliance on the capacity to legislate by qualified majority voting which had been created by the Single European Act of 1986 for ‘measures relating to the improvement in particular of the working environment to protect the health and safety of workers’, </w:t>
      </w:r>
      <w:r w:rsidR="00A07AC7" w:rsidRPr="00DE3DAA">
        <w:rPr>
          <w:rFonts w:ascii="Times New Roman" w:hAnsi="Times New Roman" w:cs="Times New Roman"/>
          <w:sz w:val="26"/>
          <w:szCs w:val="26"/>
        </w:rPr>
        <w:t>rathe</w:t>
      </w:r>
      <w:r w:rsidR="00320360" w:rsidRPr="00DE3DAA">
        <w:rPr>
          <w:rFonts w:ascii="Times New Roman" w:hAnsi="Times New Roman" w:cs="Times New Roman"/>
          <w:sz w:val="26"/>
          <w:szCs w:val="26"/>
        </w:rPr>
        <w:t>r</w:t>
      </w:r>
      <w:r w:rsidR="00A07AC7" w:rsidRPr="00DE3DAA">
        <w:rPr>
          <w:rFonts w:ascii="Times New Roman" w:hAnsi="Times New Roman" w:cs="Times New Roman"/>
          <w:sz w:val="26"/>
          <w:szCs w:val="26"/>
        </w:rPr>
        <w:t xml:space="preserve"> than settling for a Working Time Directive enacted under the Protocol and</w:t>
      </w:r>
      <w:r w:rsidR="00320360" w:rsidRPr="00DE3DAA">
        <w:rPr>
          <w:rFonts w:ascii="Times New Roman" w:hAnsi="Times New Roman" w:cs="Times New Roman"/>
          <w:sz w:val="26"/>
          <w:szCs w:val="26"/>
        </w:rPr>
        <w:t xml:space="preserve"> therefore not applying to the UK.</w:t>
      </w:r>
      <w:r w:rsidR="00AE17A6" w:rsidRPr="00DE3DAA">
        <w:rPr>
          <w:rStyle w:val="ae"/>
          <w:rFonts w:ascii="Times New Roman" w:hAnsi="Times New Roman" w:cs="Times New Roman"/>
          <w:sz w:val="26"/>
          <w:szCs w:val="26"/>
        </w:rPr>
        <w:footnoteReference w:id="275"/>
      </w:r>
      <w:r w:rsidR="005A4B3D" w:rsidRPr="00DE3DAA">
        <w:rPr>
          <w:rFonts w:ascii="Times New Roman" w:hAnsi="Times New Roman" w:cs="Times New Roman"/>
          <w:sz w:val="26"/>
          <w:szCs w:val="26"/>
        </w:rPr>
        <w:t xml:space="preserve"> Thus the aim was to secure legislation which would bind all the Member States including</w:t>
      </w:r>
      <w:r w:rsidR="006E6A35" w:rsidRPr="00DE3DAA">
        <w:rPr>
          <w:rFonts w:ascii="Times New Roman" w:hAnsi="Times New Roman" w:cs="Times New Roman"/>
          <w:sz w:val="26"/>
          <w:szCs w:val="26"/>
        </w:rPr>
        <w:t xml:space="preserve"> the UK, and no doubt the Commission hoped to have achieved this both with the Working Time Directive of 1993</w:t>
      </w:r>
      <w:r w:rsidR="00AE17A6" w:rsidRPr="00DE3DAA">
        <w:rPr>
          <w:rStyle w:val="ae"/>
          <w:rFonts w:ascii="Times New Roman" w:hAnsi="Times New Roman" w:cs="Times New Roman"/>
          <w:sz w:val="26"/>
          <w:szCs w:val="26"/>
        </w:rPr>
        <w:footnoteReference w:id="276"/>
      </w:r>
      <w:r w:rsidR="006E6A35" w:rsidRPr="00DE3DAA">
        <w:rPr>
          <w:rFonts w:ascii="Times New Roman" w:hAnsi="Times New Roman" w:cs="Times New Roman"/>
          <w:sz w:val="26"/>
          <w:szCs w:val="26"/>
        </w:rPr>
        <w:t xml:space="preserve"> and the </w:t>
      </w:r>
      <w:r w:rsidR="00A60135" w:rsidRPr="00DE3DAA">
        <w:rPr>
          <w:rFonts w:ascii="Times New Roman" w:hAnsi="Times New Roman" w:cs="Times New Roman"/>
          <w:sz w:val="26"/>
          <w:szCs w:val="26"/>
        </w:rPr>
        <w:t>Young Workers Directive of 1994</w:t>
      </w:r>
      <w:r w:rsidR="00AE17A6" w:rsidRPr="00DE3DAA">
        <w:rPr>
          <w:rStyle w:val="ae"/>
          <w:rFonts w:ascii="Times New Roman" w:hAnsi="Times New Roman" w:cs="Times New Roman"/>
          <w:sz w:val="26"/>
          <w:szCs w:val="26"/>
        </w:rPr>
        <w:footnoteReference w:id="277"/>
      </w:r>
      <w:r w:rsidR="00A60135" w:rsidRPr="00DE3DAA">
        <w:rPr>
          <w:rFonts w:ascii="Times New Roman" w:hAnsi="Times New Roman" w:cs="Times New Roman"/>
          <w:sz w:val="26"/>
          <w:szCs w:val="26"/>
        </w:rPr>
        <w:t>.</w:t>
      </w:r>
      <w:r w:rsidR="009E29B6" w:rsidRPr="00DE3DAA">
        <w:rPr>
          <w:rFonts w:ascii="Times New Roman" w:hAnsi="Times New Roman" w:cs="Times New Roman"/>
          <w:sz w:val="26"/>
          <w:szCs w:val="26"/>
        </w:rPr>
        <w:t xml:space="preserve"> The response of the UK government was triply intransigent; having first sought to water down the proposals for the Working </w:t>
      </w:r>
      <w:r w:rsidR="008B6F0B" w:rsidRPr="00DE3DAA">
        <w:rPr>
          <w:rFonts w:ascii="Times New Roman" w:hAnsi="Times New Roman" w:cs="Times New Roman"/>
          <w:sz w:val="26"/>
          <w:szCs w:val="26"/>
        </w:rPr>
        <w:t>Time</w:t>
      </w:r>
      <w:r w:rsidR="009E29B6" w:rsidRPr="00DE3DAA">
        <w:rPr>
          <w:rFonts w:ascii="Times New Roman" w:hAnsi="Times New Roman" w:cs="Times New Roman"/>
          <w:sz w:val="26"/>
          <w:szCs w:val="26"/>
        </w:rPr>
        <w:t xml:space="preserve"> Directive, </w:t>
      </w:r>
      <w:r w:rsidR="00F80546" w:rsidRPr="00DE3DAA">
        <w:rPr>
          <w:rFonts w:ascii="Times New Roman" w:hAnsi="Times New Roman" w:cs="Times New Roman"/>
          <w:sz w:val="26"/>
          <w:szCs w:val="26"/>
        </w:rPr>
        <w:t>it bro</w:t>
      </w:r>
      <w:r w:rsidR="00827081" w:rsidRPr="00DE3DAA">
        <w:rPr>
          <w:rFonts w:ascii="Times New Roman" w:hAnsi="Times New Roman" w:cs="Times New Roman"/>
          <w:sz w:val="26"/>
          <w:szCs w:val="26"/>
        </w:rPr>
        <w:t>u</w:t>
      </w:r>
      <w:r w:rsidR="00F80546" w:rsidRPr="00DE3DAA">
        <w:rPr>
          <w:rFonts w:ascii="Times New Roman" w:hAnsi="Times New Roman" w:cs="Times New Roman"/>
          <w:sz w:val="26"/>
          <w:szCs w:val="26"/>
        </w:rPr>
        <w:t xml:space="preserve">ght an action before the European Court of Justice for the annulment of the Directive, </w:t>
      </w:r>
      <w:r w:rsidR="009E29B6" w:rsidRPr="00DE3DAA">
        <w:rPr>
          <w:rFonts w:ascii="Times New Roman" w:hAnsi="Times New Roman" w:cs="Times New Roman"/>
          <w:sz w:val="26"/>
          <w:szCs w:val="26"/>
        </w:rPr>
        <w:t>arguing that the legal base for it was defective, and when that action failed</w:t>
      </w:r>
      <w:r w:rsidR="00AE17A6" w:rsidRPr="00DE3DAA">
        <w:rPr>
          <w:rStyle w:val="ae"/>
          <w:rFonts w:ascii="Times New Roman" w:hAnsi="Times New Roman" w:cs="Times New Roman"/>
          <w:sz w:val="26"/>
          <w:szCs w:val="26"/>
        </w:rPr>
        <w:footnoteReference w:id="278"/>
      </w:r>
      <w:r w:rsidR="009E29B6" w:rsidRPr="00DE3DAA">
        <w:rPr>
          <w:rFonts w:ascii="Times New Roman" w:hAnsi="Times New Roman" w:cs="Times New Roman"/>
          <w:sz w:val="26"/>
          <w:szCs w:val="26"/>
        </w:rPr>
        <w:t xml:space="preserve"> it conducted a desultory and grudging implementation exercise</w:t>
      </w:r>
      <w:r w:rsidR="00AE17A6" w:rsidRPr="00DE3DAA">
        <w:rPr>
          <w:rStyle w:val="ae"/>
          <w:rFonts w:ascii="Times New Roman" w:hAnsi="Times New Roman" w:cs="Times New Roman"/>
          <w:sz w:val="26"/>
          <w:szCs w:val="26"/>
        </w:rPr>
        <w:footnoteReference w:id="279"/>
      </w:r>
      <w:r w:rsidR="009E29B6" w:rsidRPr="00DE3DAA">
        <w:rPr>
          <w:rFonts w:ascii="Times New Roman" w:hAnsi="Times New Roman" w:cs="Times New Roman"/>
          <w:sz w:val="26"/>
          <w:szCs w:val="26"/>
        </w:rPr>
        <w:t xml:space="preserve">, letting the </w:t>
      </w:r>
      <w:r w:rsidR="009E29B6" w:rsidRPr="00DE3DAA">
        <w:rPr>
          <w:rFonts w:ascii="Times New Roman" w:hAnsi="Times New Roman" w:cs="Times New Roman"/>
          <w:sz w:val="26"/>
          <w:szCs w:val="26"/>
        </w:rPr>
        <w:lastRenderedPageBreak/>
        <w:t>implementation date</w:t>
      </w:r>
      <w:r w:rsidR="00AE17A6" w:rsidRPr="00DE3DAA">
        <w:rPr>
          <w:rStyle w:val="ae"/>
          <w:rFonts w:ascii="Times New Roman" w:hAnsi="Times New Roman" w:cs="Times New Roman"/>
          <w:sz w:val="26"/>
          <w:szCs w:val="26"/>
        </w:rPr>
        <w:footnoteReference w:id="280"/>
      </w:r>
      <w:r w:rsidR="009E29B6" w:rsidRPr="00DE3DAA">
        <w:rPr>
          <w:rFonts w:ascii="Times New Roman" w:hAnsi="Times New Roman" w:cs="Times New Roman"/>
          <w:sz w:val="26"/>
          <w:szCs w:val="26"/>
        </w:rPr>
        <w:t xml:space="preserve"> pass without having legislated, and maintaining a negative stance which became associated with the rhetoric of ‘no gold-plating’. </w:t>
      </w:r>
      <w:r w:rsidR="00F80546" w:rsidRPr="00DE3DAA">
        <w:rPr>
          <w:rFonts w:ascii="Times New Roman" w:hAnsi="Times New Roman" w:cs="Times New Roman"/>
          <w:sz w:val="26"/>
          <w:szCs w:val="26"/>
        </w:rPr>
        <w:t>So matters continued until, and stood at, the time the government went out of office in 1997.</w:t>
      </w:r>
      <w:r w:rsidR="00AE17A6" w:rsidRPr="00DE3DAA">
        <w:rPr>
          <w:rStyle w:val="ae"/>
          <w:rFonts w:ascii="Times New Roman" w:hAnsi="Times New Roman" w:cs="Times New Roman"/>
          <w:sz w:val="26"/>
          <w:szCs w:val="26"/>
        </w:rPr>
        <w:footnoteReference w:id="281"/>
      </w:r>
      <w:r w:rsidR="00DE346A" w:rsidRPr="00DE3DAA">
        <w:rPr>
          <w:rFonts w:ascii="Times New Roman" w:hAnsi="Times New Roman" w:cs="Times New Roman"/>
          <w:sz w:val="26"/>
          <w:szCs w:val="26"/>
        </w:rPr>
        <w:t xml:space="preserve"> The legislation enacted during this administration can be said</w:t>
      </w:r>
      <w:r w:rsidR="00877B22" w:rsidRPr="00DE3DAA">
        <w:rPr>
          <w:rFonts w:ascii="Times New Roman" w:hAnsi="Times New Roman" w:cs="Times New Roman"/>
          <w:sz w:val="26"/>
          <w:szCs w:val="26"/>
        </w:rPr>
        <w:t xml:space="preserve"> </w:t>
      </w:r>
      <w:r w:rsidR="008008FC" w:rsidRPr="00DE3DAA">
        <w:rPr>
          <w:rFonts w:ascii="Times New Roman" w:hAnsi="Times New Roman" w:cs="Times New Roman"/>
          <w:sz w:val="26"/>
          <w:szCs w:val="26"/>
        </w:rPr>
        <w:t xml:space="preserve">to occur by way or reluctant response to external pressures and the legislative exercise were carried out in a fairly minimalist way and requirements to enhance the protections for workers were subjected to a process of </w:t>
      </w:r>
      <w:proofErr w:type="spellStart"/>
      <w:r w:rsidR="008008FC" w:rsidRPr="00DE3DAA">
        <w:rPr>
          <w:rFonts w:ascii="Times New Roman" w:hAnsi="Times New Roman" w:cs="Times New Roman"/>
          <w:sz w:val="26"/>
          <w:szCs w:val="26"/>
        </w:rPr>
        <w:t>liberalising</w:t>
      </w:r>
      <w:proofErr w:type="spellEnd"/>
      <w:r w:rsidR="008008FC" w:rsidRPr="00DE3DAA">
        <w:rPr>
          <w:rFonts w:ascii="Times New Roman" w:hAnsi="Times New Roman" w:cs="Times New Roman"/>
          <w:sz w:val="26"/>
          <w:szCs w:val="26"/>
        </w:rPr>
        <w:t xml:space="preserve"> dilution.</w:t>
      </w:r>
      <w:r w:rsidR="00AE17A6" w:rsidRPr="00DE3DAA">
        <w:rPr>
          <w:rStyle w:val="ae"/>
          <w:rFonts w:ascii="Times New Roman" w:hAnsi="Times New Roman" w:cs="Times New Roman"/>
          <w:sz w:val="26"/>
          <w:szCs w:val="26"/>
        </w:rPr>
        <w:footnoteReference w:id="282"/>
      </w:r>
      <w:r w:rsidR="008008FC" w:rsidRPr="00DE3DAA">
        <w:rPr>
          <w:rFonts w:ascii="Times New Roman" w:hAnsi="Times New Roman" w:cs="Times New Roman"/>
          <w:sz w:val="26"/>
          <w:szCs w:val="26"/>
        </w:rPr>
        <w:t xml:space="preserve"> The exception which proves this rule is that, where the government did see the opportunity to pursue a positive agenda of re-structuring personal work relations, especially in the public sector, it did it so with real enthusiasm.</w:t>
      </w:r>
      <w:r w:rsidR="00AE17A6" w:rsidRPr="00DE3DAA">
        <w:rPr>
          <w:rStyle w:val="ae"/>
          <w:rFonts w:ascii="Times New Roman" w:hAnsi="Times New Roman" w:cs="Times New Roman"/>
          <w:sz w:val="26"/>
          <w:szCs w:val="26"/>
        </w:rPr>
        <w:footnoteReference w:id="283"/>
      </w:r>
      <w:r w:rsidR="00C51C06" w:rsidRPr="00DE3DAA">
        <w:rPr>
          <w:rFonts w:ascii="Times New Roman" w:hAnsi="Times New Roman" w:cs="Times New Roman"/>
          <w:sz w:val="26"/>
          <w:szCs w:val="26"/>
        </w:rPr>
        <w:t xml:space="preserve"> </w:t>
      </w:r>
      <w:r w:rsidR="0008006A" w:rsidRPr="00DE3DAA">
        <w:rPr>
          <w:rFonts w:ascii="Times New Roman" w:hAnsi="Times New Roman" w:cs="Times New Roman"/>
          <w:sz w:val="26"/>
          <w:szCs w:val="26"/>
        </w:rPr>
        <w:t xml:space="preserve">To be more specific, under the </w:t>
      </w:r>
      <w:r w:rsidR="00DA183F" w:rsidRPr="00DE3DAA">
        <w:rPr>
          <w:rFonts w:ascii="Times New Roman" w:hAnsi="Times New Roman" w:cs="Times New Roman"/>
          <w:sz w:val="26"/>
          <w:szCs w:val="26"/>
        </w:rPr>
        <w:t>M</w:t>
      </w:r>
      <w:r w:rsidR="0008006A" w:rsidRPr="00DE3DAA">
        <w:rPr>
          <w:rFonts w:ascii="Times New Roman" w:hAnsi="Times New Roman" w:cs="Times New Roman"/>
          <w:sz w:val="26"/>
          <w:szCs w:val="26"/>
        </w:rPr>
        <w:t xml:space="preserve">ayor administration, in the field of basic </w:t>
      </w:r>
      <w:proofErr w:type="spellStart"/>
      <w:r w:rsidR="0008006A" w:rsidRPr="00DE3DAA">
        <w:rPr>
          <w:rFonts w:ascii="Times New Roman" w:hAnsi="Times New Roman" w:cs="Times New Roman"/>
          <w:sz w:val="26"/>
          <w:szCs w:val="26"/>
        </w:rPr>
        <w:t>labour</w:t>
      </w:r>
      <w:proofErr w:type="spellEnd"/>
      <w:r w:rsidR="0008006A" w:rsidRPr="00DE3DAA">
        <w:rPr>
          <w:rFonts w:ascii="Times New Roman" w:hAnsi="Times New Roman" w:cs="Times New Roman"/>
          <w:sz w:val="26"/>
          <w:szCs w:val="26"/>
        </w:rPr>
        <w:t xml:space="preserve"> standards and general worker protection</w:t>
      </w:r>
      <w:r w:rsidR="00DA183F" w:rsidRPr="00DE3DAA">
        <w:rPr>
          <w:rFonts w:ascii="Times New Roman" w:hAnsi="Times New Roman" w:cs="Times New Roman"/>
          <w:sz w:val="26"/>
          <w:szCs w:val="26"/>
        </w:rPr>
        <w:t xml:space="preserve"> regulation</w:t>
      </w:r>
      <w:r w:rsidR="0008006A" w:rsidRPr="00DE3DAA">
        <w:rPr>
          <w:rFonts w:ascii="Times New Roman" w:hAnsi="Times New Roman" w:cs="Times New Roman"/>
          <w:sz w:val="26"/>
          <w:szCs w:val="26"/>
        </w:rPr>
        <w:t xml:space="preserve">, </w:t>
      </w:r>
      <w:r w:rsidR="00CD3566" w:rsidRPr="00DE3DAA">
        <w:rPr>
          <w:rFonts w:ascii="Times New Roman" w:hAnsi="Times New Roman" w:cs="Times New Roman"/>
          <w:sz w:val="26"/>
          <w:szCs w:val="26"/>
        </w:rPr>
        <w:t xml:space="preserve">it can be said that </w:t>
      </w:r>
      <w:r w:rsidR="0008006A" w:rsidRPr="00DE3DAA">
        <w:rPr>
          <w:rFonts w:ascii="Times New Roman" w:hAnsi="Times New Roman" w:cs="Times New Roman"/>
          <w:sz w:val="26"/>
          <w:szCs w:val="26"/>
        </w:rPr>
        <w:t>there were two major sets of measures, one contained in the Trade Union Reform and Employment Rights Act 1993 (TURERA 1993) and the other in the Pensions Act 1995 (PA 1995).</w:t>
      </w:r>
      <w:r w:rsidR="00F2771D" w:rsidRPr="00DE3DAA">
        <w:rPr>
          <w:rFonts w:ascii="Times New Roman" w:hAnsi="Times New Roman" w:cs="Times New Roman"/>
          <w:sz w:val="26"/>
          <w:szCs w:val="26"/>
        </w:rPr>
        <w:t xml:space="preserve"> </w:t>
      </w:r>
      <w:r w:rsidR="00AD2968" w:rsidRPr="00DE3DAA">
        <w:rPr>
          <w:rFonts w:ascii="Times New Roman" w:hAnsi="Times New Roman" w:cs="Times New Roman"/>
          <w:sz w:val="26"/>
          <w:szCs w:val="26"/>
        </w:rPr>
        <w:t xml:space="preserve">In </w:t>
      </w:r>
      <w:r w:rsidR="00012B42" w:rsidRPr="00DE3DAA">
        <w:rPr>
          <w:rFonts w:ascii="Times New Roman" w:hAnsi="Times New Roman" w:cs="Times New Roman"/>
          <w:sz w:val="26"/>
          <w:szCs w:val="26"/>
        </w:rPr>
        <w:t xml:space="preserve">Part </w:t>
      </w:r>
      <w:r w:rsidR="00012B42" w:rsidRPr="00DE3DAA">
        <w:rPr>
          <w:rFonts w:ascii="Times New Roman" w:eastAsia="맑은 고딕" w:hAnsi="Times New Roman" w:cs="Times New Roman"/>
          <w:sz w:val="26"/>
          <w:szCs w:val="26"/>
        </w:rPr>
        <w:t>Ⅰ</w:t>
      </w:r>
      <w:r w:rsidR="00CD3566" w:rsidRPr="00DE3DAA">
        <w:rPr>
          <w:rFonts w:ascii="Times New Roman" w:eastAsia="맑은 고딕" w:hAnsi="Times New Roman" w:cs="Times New Roman"/>
          <w:sz w:val="26"/>
          <w:szCs w:val="26"/>
        </w:rPr>
        <w:t xml:space="preserve"> of TURERA</w:t>
      </w:r>
      <w:r w:rsidR="00012B42" w:rsidRPr="00DE3DAA">
        <w:rPr>
          <w:rFonts w:ascii="Times New Roman" w:hAnsi="Times New Roman" w:cs="Times New Roman"/>
          <w:sz w:val="26"/>
          <w:szCs w:val="26"/>
        </w:rPr>
        <w:t>, in the</w:t>
      </w:r>
      <w:r w:rsidR="00CD3566" w:rsidRPr="00DE3DAA">
        <w:rPr>
          <w:rFonts w:ascii="Times New Roman" w:hAnsi="Times New Roman" w:cs="Times New Roman"/>
          <w:sz w:val="26"/>
          <w:szCs w:val="26"/>
        </w:rPr>
        <w:t xml:space="preserve"> field of collective </w:t>
      </w:r>
      <w:proofErr w:type="spellStart"/>
      <w:r w:rsidR="00CD3566" w:rsidRPr="00DE3DAA">
        <w:rPr>
          <w:rFonts w:ascii="Times New Roman" w:hAnsi="Times New Roman" w:cs="Times New Roman"/>
          <w:sz w:val="26"/>
          <w:szCs w:val="26"/>
        </w:rPr>
        <w:t>labour</w:t>
      </w:r>
      <w:proofErr w:type="spellEnd"/>
      <w:r w:rsidR="00CD3566" w:rsidRPr="00DE3DAA">
        <w:rPr>
          <w:rFonts w:ascii="Times New Roman" w:hAnsi="Times New Roman" w:cs="Times New Roman"/>
          <w:sz w:val="26"/>
          <w:szCs w:val="26"/>
        </w:rPr>
        <w:t xml:space="preserve"> law, which gave effect to various policies which the government strongly wished to </w:t>
      </w:r>
      <w:r w:rsidR="00CD3566" w:rsidRPr="00DE3DAA">
        <w:rPr>
          <w:rFonts w:ascii="Times New Roman" w:hAnsi="Times New Roman" w:cs="Times New Roman"/>
          <w:sz w:val="26"/>
          <w:szCs w:val="26"/>
        </w:rPr>
        <w:lastRenderedPageBreak/>
        <w:t xml:space="preserve">pursue, and for Part </w:t>
      </w:r>
      <w:r w:rsidR="00CD3566" w:rsidRPr="00DE3DAA">
        <w:rPr>
          <w:rFonts w:ascii="Times New Roman" w:eastAsia="맑은 고딕" w:hAnsi="Times New Roman" w:cs="Times New Roman"/>
          <w:sz w:val="26"/>
          <w:szCs w:val="26"/>
        </w:rPr>
        <w:t xml:space="preserve">Ⅲ which administered the final quietus to the system of sectoral minimum wage arrangements administered by Wages Councils, </w:t>
      </w:r>
      <w:r w:rsidR="003B44C8" w:rsidRPr="00DE3DAA">
        <w:rPr>
          <w:rFonts w:ascii="Times New Roman" w:eastAsia="맑은 고딕" w:hAnsi="Times New Roman" w:cs="Times New Roman"/>
          <w:sz w:val="26"/>
          <w:szCs w:val="26"/>
        </w:rPr>
        <w:t xml:space="preserve">already greatly </w:t>
      </w:r>
      <w:r w:rsidR="009B1ADA" w:rsidRPr="00DE3DAA">
        <w:rPr>
          <w:rFonts w:ascii="Times New Roman" w:eastAsia="맑은 고딕" w:hAnsi="Times New Roman" w:cs="Times New Roman"/>
          <w:sz w:val="26"/>
          <w:szCs w:val="26"/>
        </w:rPr>
        <w:t>diminished</w:t>
      </w:r>
      <w:r w:rsidR="00D73771" w:rsidRPr="00DE3DAA">
        <w:rPr>
          <w:rFonts w:ascii="Times New Roman" w:eastAsia="맑은 고딕" w:hAnsi="Times New Roman" w:cs="Times New Roman"/>
          <w:sz w:val="26"/>
          <w:szCs w:val="26"/>
        </w:rPr>
        <w:t xml:space="preserve"> by various abolitions or curtailments of powers during the previous administration.</w:t>
      </w:r>
      <w:r w:rsidR="00AE17A6" w:rsidRPr="00DE3DAA">
        <w:rPr>
          <w:rStyle w:val="ae"/>
          <w:rFonts w:ascii="Times New Roman" w:eastAsia="맑은 고딕" w:hAnsi="Times New Roman" w:cs="Times New Roman"/>
          <w:sz w:val="26"/>
          <w:szCs w:val="26"/>
        </w:rPr>
        <w:footnoteReference w:id="284"/>
      </w:r>
      <w:r w:rsidR="009B1ADA" w:rsidRPr="00DE3DAA">
        <w:rPr>
          <w:rFonts w:ascii="Times New Roman" w:eastAsia="맑은 고딕" w:hAnsi="Times New Roman" w:cs="Times New Roman"/>
          <w:sz w:val="26"/>
          <w:szCs w:val="26"/>
        </w:rPr>
        <w:t xml:space="preserve"> It can be acknowledged that Part Ⅱ of the Act represented a significant set of enhancements of worker protections.</w:t>
      </w:r>
      <w:r w:rsidR="00AE17A6" w:rsidRPr="00DE3DAA">
        <w:rPr>
          <w:rStyle w:val="ae"/>
          <w:rFonts w:ascii="Times New Roman" w:eastAsia="맑은 고딕" w:hAnsi="Times New Roman" w:cs="Times New Roman"/>
          <w:sz w:val="26"/>
          <w:szCs w:val="26"/>
        </w:rPr>
        <w:footnoteReference w:id="285"/>
      </w:r>
      <w:r w:rsidR="009B1ADA" w:rsidRPr="00DE3DAA">
        <w:rPr>
          <w:rFonts w:ascii="Times New Roman" w:eastAsia="맑은 고딕" w:hAnsi="Times New Roman" w:cs="Times New Roman"/>
          <w:sz w:val="26"/>
          <w:szCs w:val="26"/>
        </w:rPr>
        <w:t xml:space="preserve"> </w:t>
      </w:r>
      <w:r w:rsidR="00AC3263" w:rsidRPr="00DE3DAA">
        <w:rPr>
          <w:rFonts w:ascii="Times New Roman" w:eastAsia="맑은 고딕" w:hAnsi="Times New Roman" w:cs="Times New Roman"/>
          <w:sz w:val="26"/>
          <w:szCs w:val="26"/>
        </w:rPr>
        <w:t>It can be explained through the fact that despite the British opt-out from the Social Chapter as mentioned above, it can be seen there was a considerable accumulation of obligations to complete or repair the implementation of EC Directives which were binding upon the UK.</w:t>
      </w:r>
      <w:r w:rsidR="00AE17A6" w:rsidRPr="00DE3DAA">
        <w:rPr>
          <w:rStyle w:val="ae"/>
          <w:rFonts w:ascii="Times New Roman" w:eastAsia="맑은 고딕" w:hAnsi="Times New Roman" w:cs="Times New Roman"/>
          <w:sz w:val="26"/>
          <w:szCs w:val="26"/>
        </w:rPr>
        <w:footnoteReference w:id="286"/>
      </w:r>
      <w:r w:rsidR="00B8353B" w:rsidRPr="00DE3DAA">
        <w:rPr>
          <w:rFonts w:ascii="Times New Roman" w:eastAsia="맑은 고딕" w:hAnsi="Times New Roman" w:cs="Times New Roman"/>
          <w:sz w:val="26"/>
          <w:szCs w:val="26"/>
        </w:rPr>
        <w:t xml:space="preserve"> </w:t>
      </w:r>
      <w:r w:rsidR="000B4B76" w:rsidRPr="00DE3DAA">
        <w:rPr>
          <w:rFonts w:ascii="Times New Roman" w:eastAsia="맑은 고딕" w:hAnsi="Times New Roman" w:cs="Times New Roman"/>
          <w:sz w:val="26"/>
          <w:szCs w:val="26"/>
        </w:rPr>
        <w:t>Although it was not always very apparent from the terms in which the Secretary of State for Employment, Gillian Shepherd, presented this part of the Bill,</w:t>
      </w:r>
      <w:r w:rsidR="00AE17A6" w:rsidRPr="00DE3DAA">
        <w:rPr>
          <w:rStyle w:val="ae"/>
          <w:rFonts w:ascii="Times New Roman" w:eastAsia="맑은 고딕" w:hAnsi="Times New Roman" w:cs="Times New Roman"/>
          <w:sz w:val="26"/>
          <w:szCs w:val="26"/>
        </w:rPr>
        <w:footnoteReference w:id="287"/>
      </w:r>
      <w:r w:rsidR="000B4B76" w:rsidRPr="00DE3DAA">
        <w:rPr>
          <w:rFonts w:ascii="Times New Roman" w:eastAsia="맑은 고딕" w:hAnsi="Times New Roman" w:cs="Times New Roman"/>
          <w:sz w:val="26"/>
          <w:szCs w:val="26"/>
        </w:rPr>
        <w:t xml:space="preserve"> it can be said that to have represented an implementation, and in fact on the whole a fairly minimal implementation, of a number of such Directives, rather than a set of initiatives for worker protection on the part of the UK government.</w:t>
      </w:r>
      <w:r w:rsidR="00AE17A6" w:rsidRPr="00DE3DAA">
        <w:rPr>
          <w:rStyle w:val="ae"/>
          <w:rFonts w:ascii="Times New Roman" w:eastAsia="맑은 고딕" w:hAnsi="Times New Roman" w:cs="Times New Roman"/>
          <w:sz w:val="26"/>
          <w:szCs w:val="26"/>
        </w:rPr>
        <w:footnoteReference w:id="288"/>
      </w:r>
      <w:r w:rsidR="009632F0" w:rsidRPr="00DE3DAA">
        <w:rPr>
          <w:rFonts w:ascii="Times New Roman" w:eastAsia="맑은 고딕" w:hAnsi="Times New Roman" w:cs="Times New Roman"/>
          <w:sz w:val="26"/>
          <w:szCs w:val="26"/>
        </w:rPr>
        <w:t xml:space="preserve"> </w:t>
      </w:r>
      <w:r w:rsidR="009344AC" w:rsidRPr="00DE3DAA">
        <w:rPr>
          <w:rFonts w:ascii="Times New Roman" w:eastAsia="맑은 고딕" w:hAnsi="Times New Roman" w:cs="Times New Roman"/>
          <w:sz w:val="26"/>
          <w:szCs w:val="26"/>
        </w:rPr>
        <w:t>Thus, the Pregnant Workers Directive of 1992 was implemented to the extent that a right to a minimum of fourteen weeks’ maternity leave was introduced, irrespective of the hours and length of service of the worker, but no provision requiring that to be paid leave was made at that stage, while progressive best practice by then might have been to make such provision.</w:t>
      </w:r>
      <w:r w:rsidR="00AE17A6" w:rsidRPr="00DE3DAA">
        <w:rPr>
          <w:rStyle w:val="ae"/>
          <w:rFonts w:ascii="Times New Roman" w:eastAsia="맑은 고딕" w:hAnsi="Times New Roman" w:cs="Times New Roman"/>
          <w:sz w:val="26"/>
          <w:szCs w:val="26"/>
        </w:rPr>
        <w:footnoteReference w:id="289"/>
      </w:r>
      <w:r w:rsidR="009344AC" w:rsidRPr="00DE3DAA">
        <w:rPr>
          <w:rFonts w:ascii="Times New Roman" w:eastAsia="맑은 고딕" w:hAnsi="Times New Roman" w:cs="Times New Roman"/>
          <w:sz w:val="26"/>
          <w:szCs w:val="26"/>
        </w:rPr>
        <w:t xml:space="preserve"> </w:t>
      </w:r>
      <w:r w:rsidR="00016A96" w:rsidRPr="00DE3DAA">
        <w:rPr>
          <w:rFonts w:ascii="Times New Roman" w:eastAsia="맑은 고딕" w:hAnsi="Times New Roman" w:cs="Times New Roman"/>
          <w:sz w:val="26"/>
          <w:szCs w:val="26"/>
        </w:rPr>
        <w:t xml:space="preserve"> In addition, it can be similarly acknowledged that </w:t>
      </w:r>
      <w:r w:rsidR="009344AC" w:rsidRPr="00DE3DAA">
        <w:rPr>
          <w:rFonts w:ascii="Times New Roman" w:eastAsia="맑은 고딕" w:hAnsi="Times New Roman" w:cs="Times New Roman"/>
          <w:sz w:val="26"/>
          <w:szCs w:val="26"/>
        </w:rPr>
        <w:t>the Information about Conditions of Employment Directive of 1991</w:t>
      </w:r>
      <w:r w:rsidR="00AE17A6" w:rsidRPr="00DE3DAA">
        <w:rPr>
          <w:rStyle w:val="ae"/>
          <w:rFonts w:ascii="Times New Roman" w:eastAsia="맑은 고딕" w:hAnsi="Times New Roman" w:cs="Times New Roman"/>
          <w:sz w:val="26"/>
          <w:szCs w:val="26"/>
        </w:rPr>
        <w:footnoteReference w:id="290"/>
      </w:r>
      <w:r w:rsidR="009344AC" w:rsidRPr="00DE3DAA">
        <w:rPr>
          <w:rFonts w:ascii="Times New Roman" w:eastAsia="맑은 고딕" w:hAnsi="Times New Roman" w:cs="Times New Roman"/>
          <w:sz w:val="26"/>
          <w:szCs w:val="26"/>
        </w:rPr>
        <w:t xml:space="preserve"> was implemented by enhancement of existing provision for employment particulars and for itemized pay statements</w:t>
      </w:r>
      <w:r w:rsidR="00016A96" w:rsidRPr="00DE3DAA">
        <w:rPr>
          <w:rFonts w:ascii="Times New Roman" w:eastAsia="맑은 고딕" w:hAnsi="Times New Roman" w:cs="Times New Roman"/>
          <w:sz w:val="26"/>
          <w:szCs w:val="26"/>
        </w:rPr>
        <w:t>,</w:t>
      </w:r>
      <w:r w:rsidR="00AE17A6" w:rsidRPr="00DE3DAA">
        <w:rPr>
          <w:rStyle w:val="ae"/>
          <w:rFonts w:ascii="Times New Roman" w:eastAsia="맑은 고딕" w:hAnsi="Times New Roman" w:cs="Times New Roman"/>
          <w:sz w:val="26"/>
          <w:szCs w:val="26"/>
        </w:rPr>
        <w:footnoteReference w:id="291"/>
      </w:r>
      <w:r w:rsidR="00016A96" w:rsidRPr="00DE3DAA">
        <w:rPr>
          <w:rFonts w:ascii="Times New Roman" w:eastAsia="맑은 고딕" w:hAnsi="Times New Roman" w:cs="Times New Roman"/>
          <w:sz w:val="26"/>
          <w:szCs w:val="26"/>
        </w:rPr>
        <w:t xml:space="preserve"> but</w:t>
      </w:r>
      <w:r w:rsidR="009344AC" w:rsidRPr="00DE3DAA">
        <w:rPr>
          <w:rFonts w:ascii="Times New Roman" w:eastAsia="맑은 고딕" w:hAnsi="Times New Roman" w:cs="Times New Roman"/>
          <w:sz w:val="26"/>
          <w:szCs w:val="26"/>
        </w:rPr>
        <w:t xml:space="preserve"> the opportunity </w:t>
      </w:r>
      <w:r w:rsidR="009344AC" w:rsidRPr="00DE3DAA">
        <w:rPr>
          <w:rFonts w:ascii="Times New Roman" w:eastAsia="맑은 고딕" w:hAnsi="Times New Roman" w:cs="Times New Roman"/>
          <w:sz w:val="26"/>
          <w:szCs w:val="26"/>
        </w:rPr>
        <w:lastRenderedPageBreak/>
        <w:t>was not taken to adopt a comprehensive</w:t>
      </w:r>
      <w:r w:rsidR="00016A96" w:rsidRPr="00DE3DAA">
        <w:rPr>
          <w:rFonts w:ascii="Times New Roman" w:eastAsia="맑은 고딕" w:hAnsi="Times New Roman" w:cs="Times New Roman"/>
          <w:sz w:val="26"/>
          <w:szCs w:val="26"/>
        </w:rPr>
        <w:t xml:space="preserve"> and</w:t>
      </w:r>
      <w:r w:rsidR="009344AC" w:rsidRPr="00DE3DAA">
        <w:rPr>
          <w:rFonts w:ascii="Times New Roman" w:eastAsia="맑은 고딕" w:hAnsi="Times New Roman" w:cs="Times New Roman"/>
          <w:sz w:val="26"/>
          <w:szCs w:val="26"/>
        </w:rPr>
        <w:t xml:space="preserve"> transparent approach to information about terms and conditions of employment.</w:t>
      </w:r>
      <w:r w:rsidR="00AE17A6" w:rsidRPr="00DE3DAA">
        <w:rPr>
          <w:rStyle w:val="ae"/>
          <w:rFonts w:ascii="Times New Roman" w:eastAsia="맑은 고딕" w:hAnsi="Times New Roman" w:cs="Times New Roman"/>
          <w:sz w:val="26"/>
          <w:szCs w:val="26"/>
        </w:rPr>
        <w:footnoteReference w:id="292"/>
      </w:r>
      <w:r w:rsidR="000B4827" w:rsidRPr="00DE3DAA">
        <w:rPr>
          <w:rFonts w:ascii="Times New Roman" w:eastAsia="맑은 고딕" w:hAnsi="Times New Roman" w:cs="Times New Roman"/>
          <w:sz w:val="26"/>
          <w:szCs w:val="26"/>
        </w:rPr>
        <w:t xml:space="preserve"> On the other hand, as</w:t>
      </w:r>
      <w:r w:rsidR="00DF26F9" w:rsidRPr="00DE3DAA">
        <w:rPr>
          <w:rFonts w:ascii="Times New Roman" w:eastAsia="맑은 고딕" w:hAnsi="Times New Roman" w:cs="Times New Roman"/>
          <w:sz w:val="26"/>
          <w:szCs w:val="26"/>
        </w:rPr>
        <w:t xml:space="preserve"> far as individual worker protection is concerned, there </w:t>
      </w:r>
      <w:r w:rsidR="00AF280E" w:rsidRPr="00DE3DAA">
        <w:rPr>
          <w:rFonts w:ascii="Times New Roman" w:eastAsia="맑은 고딕" w:hAnsi="Times New Roman" w:cs="Times New Roman"/>
          <w:sz w:val="26"/>
          <w:szCs w:val="26"/>
        </w:rPr>
        <w:t>were</w:t>
      </w:r>
      <w:r w:rsidR="00DF26F9" w:rsidRPr="00DE3DAA">
        <w:rPr>
          <w:rFonts w:ascii="Times New Roman" w:eastAsia="맑은 고딕" w:hAnsi="Times New Roman" w:cs="Times New Roman"/>
          <w:sz w:val="26"/>
          <w:szCs w:val="26"/>
        </w:rPr>
        <w:t xml:space="preserve"> some measures </w:t>
      </w:r>
      <w:r w:rsidR="00766888" w:rsidRPr="00DE3DAA">
        <w:rPr>
          <w:rFonts w:ascii="Times New Roman" w:eastAsia="맑은 고딕" w:hAnsi="Times New Roman" w:cs="Times New Roman"/>
          <w:sz w:val="26"/>
          <w:szCs w:val="26"/>
        </w:rPr>
        <w:t>remarkably</w:t>
      </w:r>
      <w:r w:rsidR="00DF26F9" w:rsidRPr="00DE3DAA">
        <w:rPr>
          <w:rFonts w:ascii="Times New Roman" w:eastAsia="맑은 고딕" w:hAnsi="Times New Roman" w:cs="Times New Roman"/>
          <w:sz w:val="26"/>
          <w:szCs w:val="26"/>
        </w:rPr>
        <w:t xml:space="preserve"> cautious at the collective level. Thus the implementation of the Health and Safety Framework Directive of 1989 was taken further</w:t>
      </w:r>
      <w:r w:rsidR="00AE17A6" w:rsidRPr="00DE3DAA">
        <w:rPr>
          <w:rStyle w:val="ae"/>
          <w:rFonts w:ascii="Times New Roman" w:eastAsia="맑은 고딕" w:hAnsi="Times New Roman" w:cs="Times New Roman"/>
          <w:sz w:val="26"/>
          <w:szCs w:val="26"/>
        </w:rPr>
        <w:footnoteReference w:id="293"/>
      </w:r>
      <w:r w:rsidR="00DF26F9" w:rsidRPr="00DE3DAA">
        <w:rPr>
          <w:rFonts w:ascii="Times New Roman" w:eastAsia="맑은 고딕" w:hAnsi="Times New Roman" w:cs="Times New Roman"/>
          <w:sz w:val="26"/>
          <w:szCs w:val="26"/>
        </w:rPr>
        <w:t xml:space="preserve"> by the provision of special employment protection, in terms both of unfair dismissal rights and rights not to suffer detriment, for workers who in various senses raise or pursue health and safety concerns in the workplace.</w:t>
      </w:r>
      <w:r w:rsidR="00AE17A6" w:rsidRPr="00DE3DAA">
        <w:rPr>
          <w:rStyle w:val="ae"/>
          <w:rFonts w:ascii="Times New Roman" w:eastAsia="맑은 고딕" w:hAnsi="Times New Roman" w:cs="Times New Roman"/>
          <w:sz w:val="26"/>
          <w:szCs w:val="26"/>
        </w:rPr>
        <w:footnoteReference w:id="294"/>
      </w:r>
      <w:r w:rsidR="001D04A4" w:rsidRPr="00DE3DAA">
        <w:rPr>
          <w:rFonts w:ascii="Times New Roman" w:eastAsia="맑은 고딕" w:hAnsi="Times New Roman" w:cs="Times New Roman"/>
          <w:sz w:val="26"/>
          <w:szCs w:val="26"/>
        </w:rPr>
        <w:t xml:space="preserve"> </w:t>
      </w:r>
      <w:r w:rsidR="00711BC9" w:rsidRPr="00DE3DAA">
        <w:rPr>
          <w:rFonts w:ascii="Times New Roman" w:eastAsia="맑은 고딕" w:hAnsi="Times New Roman" w:cs="Times New Roman"/>
          <w:sz w:val="26"/>
          <w:szCs w:val="26"/>
        </w:rPr>
        <w:t>That is,</w:t>
      </w:r>
      <w:r w:rsidR="001D04A4" w:rsidRPr="00DE3DAA">
        <w:rPr>
          <w:rFonts w:ascii="Times New Roman" w:eastAsia="맑은 고딕" w:hAnsi="Times New Roman" w:cs="Times New Roman"/>
          <w:sz w:val="26"/>
          <w:szCs w:val="26"/>
        </w:rPr>
        <w:t xml:space="preserve"> </w:t>
      </w:r>
      <w:r w:rsidR="00711BC9" w:rsidRPr="00DE3DAA">
        <w:rPr>
          <w:rFonts w:ascii="Times New Roman" w:eastAsia="맑은 고딕" w:hAnsi="Times New Roman" w:cs="Times New Roman"/>
          <w:sz w:val="26"/>
          <w:szCs w:val="26"/>
        </w:rPr>
        <w:t xml:space="preserve">a general unfair dismissal protection was at the same time conferred upon </w:t>
      </w:r>
      <w:r w:rsidR="001D04A4" w:rsidRPr="00DE3DAA">
        <w:rPr>
          <w:rFonts w:ascii="Times New Roman" w:eastAsia="맑은 고딕" w:hAnsi="Times New Roman" w:cs="Times New Roman"/>
          <w:sz w:val="26"/>
          <w:szCs w:val="26"/>
        </w:rPr>
        <w:t>employees dismissed for asserting any of an extensive list of statutory employment rights</w:t>
      </w:r>
      <w:r w:rsidR="00711BC9" w:rsidRPr="00DE3DAA">
        <w:rPr>
          <w:rFonts w:ascii="Times New Roman" w:eastAsia="맑은 고딕" w:hAnsi="Times New Roman" w:cs="Times New Roman"/>
          <w:sz w:val="26"/>
          <w:szCs w:val="26"/>
        </w:rPr>
        <w:t xml:space="preserve"> from the beginning of their employment</w:t>
      </w:r>
      <w:r w:rsidR="001D04A4" w:rsidRPr="00DE3DAA">
        <w:rPr>
          <w:rFonts w:ascii="Times New Roman" w:eastAsia="맑은 고딕" w:hAnsi="Times New Roman" w:cs="Times New Roman"/>
          <w:sz w:val="26"/>
          <w:szCs w:val="26"/>
        </w:rPr>
        <w:t>.</w:t>
      </w:r>
      <w:r w:rsidR="00AE17A6" w:rsidRPr="00DE3DAA">
        <w:rPr>
          <w:rStyle w:val="ae"/>
          <w:rFonts w:ascii="Times New Roman" w:eastAsia="맑은 고딕" w:hAnsi="Times New Roman" w:cs="Times New Roman"/>
          <w:sz w:val="26"/>
          <w:szCs w:val="26"/>
        </w:rPr>
        <w:footnoteReference w:id="295"/>
      </w:r>
      <w:r w:rsidR="001D04A4" w:rsidRPr="00DE3DAA">
        <w:rPr>
          <w:rFonts w:ascii="Times New Roman" w:eastAsia="맑은 고딕" w:hAnsi="Times New Roman" w:cs="Times New Roman"/>
          <w:sz w:val="26"/>
          <w:szCs w:val="26"/>
        </w:rPr>
        <w:t xml:space="preserve"> But it was </w:t>
      </w:r>
      <w:r w:rsidR="009C16AB" w:rsidRPr="00DE3DAA">
        <w:rPr>
          <w:rFonts w:ascii="Times New Roman" w:eastAsia="맑은 고딕" w:hAnsi="Times New Roman" w:cs="Times New Roman"/>
          <w:sz w:val="26"/>
          <w:szCs w:val="26"/>
        </w:rPr>
        <w:t>contentious</w:t>
      </w:r>
      <w:r w:rsidR="001D04A4" w:rsidRPr="00DE3DAA">
        <w:rPr>
          <w:rFonts w:ascii="Times New Roman" w:eastAsia="맑은 고딕" w:hAnsi="Times New Roman" w:cs="Times New Roman"/>
          <w:sz w:val="26"/>
          <w:szCs w:val="26"/>
        </w:rPr>
        <w:t xml:space="preserve"> that the Directive remained less than fully implemented at the collective level in that the health and safety consultation rights required by the Directive remained confined to representatives appointed by recognized trade unions.</w:t>
      </w:r>
      <w:r w:rsidR="00AE17A6" w:rsidRPr="00DE3DAA">
        <w:rPr>
          <w:rStyle w:val="ae"/>
          <w:rFonts w:ascii="Times New Roman" w:eastAsia="맑은 고딕" w:hAnsi="Times New Roman" w:cs="Times New Roman"/>
          <w:sz w:val="26"/>
          <w:szCs w:val="26"/>
        </w:rPr>
        <w:footnoteReference w:id="296"/>
      </w:r>
      <w:r w:rsidR="003F58F6" w:rsidRPr="00DE3DAA">
        <w:rPr>
          <w:rFonts w:ascii="Times New Roman" w:eastAsia="맑은 고딕" w:hAnsi="Times New Roman" w:cs="Times New Roman"/>
          <w:sz w:val="26"/>
          <w:szCs w:val="26"/>
        </w:rPr>
        <w:t xml:space="preserve"> If the provisions of TURERA 1993 seem to typify the approach of a government strongly committed to minimizing the impact of worker-protective legislation upon managerial flexibility, this can be said to be reinforced by the other main item of such legislation enacted during the Major administration,</w:t>
      </w:r>
      <w:r w:rsidR="00F36923" w:rsidRPr="00DE3DAA">
        <w:rPr>
          <w:rFonts w:ascii="Times New Roman" w:eastAsia="맑은 고딕" w:hAnsi="Times New Roman" w:cs="Times New Roman"/>
          <w:sz w:val="26"/>
          <w:szCs w:val="26"/>
        </w:rPr>
        <w:t xml:space="preserve"> that</w:t>
      </w:r>
      <w:r w:rsidR="003F58F6" w:rsidRPr="00DE3DAA">
        <w:rPr>
          <w:rFonts w:ascii="Times New Roman" w:eastAsia="맑은 고딕" w:hAnsi="Times New Roman" w:cs="Times New Roman"/>
          <w:sz w:val="26"/>
          <w:szCs w:val="26"/>
        </w:rPr>
        <w:t xml:space="preserve"> is the Pensions Act 1995.</w:t>
      </w:r>
      <w:r w:rsidR="00AE17A6" w:rsidRPr="00DE3DAA">
        <w:rPr>
          <w:rStyle w:val="ae"/>
          <w:rFonts w:ascii="Times New Roman" w:eastAsia="맑은 고딕" w:hAnsi="Times New Roman" w:cs="Times New Roman"/>
          <w:sz w:val="26"/>
          <w:szCs w:val="26"/>
        </w:rPr>
        <w:footnoteReference w:id="297"/>
      </w:r>
      <w:r w:rsidR="005100C0" w:rsidRPr="00DE3DAA">
        <w:rPr>
          <w:rFonts w:ascii="Times New Roman" w:eastAsia="맑은 고딕" w:hAnsi="Times New Roman" w:cs="Times New Roman"/>
          <w:sz w:val="26"/>
          <w:szCs w:val="26"/>
        </w:rPr>
        <w:t xml:space="preserve"> </w:t>
      </w:r>
      <w:r w:rsidR="007B0102" w:rsidRPr="00DE3DAA">
        <w:rPr>
          <w:rFonts w:ascii="Times New Roman" w:eastAsia="맑은 고딕" w:hAnsi="Times New Roman" w:cs="Times New Roman"/>
          <w:sz w:val="26"/>
          <w:szCs w:val="26"/>
        </w:rPr>
        <w:t xml:space="preserve">The Pensions Act of 1995 </w:t>
      </w:r>
      <w:r w:rsidR="006D286E" w:rsidRPr="00DE3DAA">
        <w:rPr>
          <w:rFonts w:ascii="Times New Roman" w:eastAsia="맑은 고딕" w:hAnsi="Times New Roman" w:cs="Times New Roman"/>
          <w:sz w:val="26"/>
          <w:szCs w:val="26"/>
        </w:rPr>
        <w:t xml:space="preserve">can be seen as the attempted </w:t>
      </w:r>
      <w:r w:rsidR="00236633" w:rsidRPr="00DE3DAA">
        <w:rPr>
          <w:rFonts w:ascii="Times New Roman" w:eastAsia="맑은 고딕" w:hAnsi="Times New Roman" w:cs="Times New Roman"/>
          <w:sz w:val="26"/>
          <w:szCs w:val="26"/>
        </w:rPr>
        <w:t>reconciliation of a number of different pressures which exerted themselves upon the Major administration with relation to the regulation of occupational pension schemes. Firstly, there was the pressure exerted by public outrage at the raiding of the funds of the Mirror Group occupational pension scheme by the Proprietor of the Mirror Group corporation, the notorious Robert Maxwell</w:t>
      </w:r>
      <w:r w:rsidR="001C560C" w:rsidRPr="00DE3DAA">
        <w:rPr>
          <w:rFonts w:ascii="Times New Roman" w:eastAsia="맑은 고딕" w:hAnsi="Times New Roman" w:cs="Times New Roman"/>
          <w:sz w:val="26"/>
          <w:szCs w:val="26"/>
        </w:rPr>
        <w:t xml:space="preserve">. This pressure </w:t>
      </w:r>
      <w:r w:rsidR="00236633" w:rsidRPr="00DE3DAA">
        <w:rPr>
          <w:rFonts w:ascii="Times New Roman" w:eastAsia="맑은 고딕" w:hAnsi="Times New Roman" w:cs="Times New Roman"/>
          <w:sz w:val="26"/>
          <w:szCs w:val="26"/>
        </w:rPr>
        <w:t xml:space="preserve">was </w:t>
      </w:r>
      <w:r w:rsidR="001C560C" w:rsidRPr="00DE3DAA">
        <w:rPr>
          <w:rFonts w:ascii="Times New Roman" w:eastAsia="맑은 고딕" w:hAnsi="Times New Roman" w:cs="Times New Roman"/>
          <w:sz w:val="26"/>
          <w:szCs w:val="26"/>
        </w:rPr>
        <w:t>to improve</w:t>
      </w:r>
      <w:r w:rsidR="00236633" w:rsidRPr="00DE3DAA">
        <w:rPr>
          <w:rFonts w:ascii="Times New Roman" w:eastAsia="맑은 고딕" w:hAnsi="Times New Roman" w:cs="Times New Roman"/>
          <w:sz w:val="26"/>
          <w:szCs w:val="26"/>
        </w:rPr>
        <w:t xml:space="preserve"> the legal protection of the entitlements and expectations of </w:t>
      </w:r>
      <w:r w:rsidR="00236633" w:rsidRPr="00DE3DAA">
        <w:rPr>
          <w:rFonts w:ascii="Times New Roman" w:eastAsia="맑은 고딕" w:hAnsi="Times New Roman" w:cs="Times New Roman"/>
          <w:sz w:val="26"/>
          <w:szCs w:val="26"/>
        </w:rPr>
        <w:lastRenderedPageBreak/>
        <w:t>occupational pension scheme members against fraudulent or dishonest management of such scheme.</w:t>
      </w:r>
      <w:r w:rsidR="00AE17A6" w:rsidRPr="00DE3DAA">
        <w:rPr>
          <w:rStyle w:val="ae"/>
          <w:rFonts w:ascii="Times New Roman" w:eastAsia="맑은 고딕" w:hAnsi="Times New Roman" w:cs="Times New Roman"/>
          <w:sz w:val="26"/>
          <w:szCs w:val="26"/>
        </w:rPr>
        <w:footnoteReference w:id="298"/>
      </w:r>
      <w:r w:rsidR="004903A3" w:rsidRPr="00DE3DAA">
        <w:rPr>
          <w:rFonts w:ascii="Times New Roman" w:eastAsia="맑은 고딕" w:hAnsi="Times New Roman" w:cs="Times New Roman"/>
          <w:sz w:val="26"/>
          <w:szCs w:val="26"/>
        </w:rPr>
        <w:t xml:space="preserve">Secondly, there was the pressure exerted by EC law to </w:t>
      </w:r>
      <w:proofErr w:type="spellStart"/>
      <w:r w:rsidR="00E822DC" w:rsidRPr="00DE3DAA">
        <w:rPr>
          <w:rFonts w:ascii="Times New Roman" w:eastAsia="맑은 고딕" w:hAnsi="Times New Roman" w:cs="Times New Roman"/>
          <w:sz w:val="26"/>
          <w:szCs w:val="26"/>
        </w:rPr>
        <w:t>equalise</w:t>
      </w:r>
      <w:proofErr w:type="spellEnd"/>
      <w:r w:rsidR="00E822DC" w:rsidRPr="00DE3DAA">
        <w:rPr>
          <w:rFonts w:ascii="Times New Roman" w:eastAsia="맑은 고딕" w:hAnsi="Times New Roman" w:cs="Times New Roman"/>
          <w:sz w:val="26"/>
          <w:szCs w:val="26"/>
        </w:rPr>
        <w:t xml:space="preserve"> the terms and conditions of occupational pension schemes as between men and women, having resulted from the fundamentally important decision of the European Court of Justice in the Barber</w:t>
      </w:r>
      <w:r w:rsidR="00AE17A6" w:rsidRPr="00DE3DAA">
        <w:rPr>
          <w:rStyle w:val="ae"/>
          <w:rFonts w:ascii="Times New Roman" w:eastAsia="맑은 고딕" w:hAnsi="Times New Roman" w:cs="Times New Roman"/>
          <w:sz w:val="26"/>
          <w:szCs w:val="26"/>
        </w:rPr>
        <w:footnoteReference w:id="299"/>
      </w:r>
      <w:r w:rsidR="00E822DC" w:rsidRPr="00DE3DAA">
        <w:rPr>
          <w:rFonts w:ascii="Times New Roman" w:eastAsia="맑은 고딕" w:hAnsi="Times New Roman" w:cs="Times New Roman"/>
          <w:sz w:val="26"/>
          <w:szCs w:val="26"/>
        </w:rPr>
        <w:t xml:space="preserve"> case that the equal pay principle of EC law</w:t>
      </w:r>
      <w:r w:rsidR="00AE17A6" w:rsidRPr="00DE3DAA">
        <w:rPr>
          <w:rStyle w:val="ae"/>
          <w:rFonts w:ascii="Times New Roman" w:eastAsia="맑은 고딕" w:hAnsi="Times New Roman" w:cs="Times New Roman"/>
          <w:sz w:val="26"/>
          <w:szCs w:val="26"/>
        </w:rPr>
        <w:footnoteReference w:id="300"/>
      </w:r>
      <w:r w:rsidR="00E822DC" w:rsidRPr="00DE3DAA">
        <w:rPr>
          <w:rFonts w:ascii="Times New Roman" w:eastAsia="맑은 고딕" w:hAnsi="Times New Roman" w:cs="Times New Roman"/>
          <w:sz w:val="26"/>
          <w:szCs w:val="26"/>
        </w:rPr>
        <w:t xml:space="preserve"> extended prospectively to occupational pension scheme provision.</w:t>
      </w:r>
      <w:r w:rsidR="00AE17A6" w:rsidRPr="00DE3DAA">
        <w:rPr>
          <w:rStyle w:val="ae"/>
          <w:rFonts w:ascii="Times New Roman" w:eastAsia="맑은 고딕" w:hAnsi="Times New Roman" w:cs="Times New Roman"/>
          <w:sz w:val="26"/>
          <w:szCs w:val="26"/>
        </w:rPr>
        <w:footnoteReference w:id="301"/>
      </w:r>
      <w:r w:rsidR="00E822DC" w:rsidRPr="00DE3DAA">
        <w:rPr>
          <w:rFonts w:ascii="Times New Roman" w:eastAsia="맑은 고딕" w:hAnsi="Times New Roman" w:cs="Times New Roman"/>
          <w:sz w:val="26"/>
          <w:szCs w:val="26"/>
        </w:rPr>
        <w:t xml:space="preserve"> Thirdly, there was a long-term need to enable both state and private occupational pension provision to cope with the enhanced demand resulting from the accelerating increase in life expectancy.</w:t>
      </w:r>
      <w:r w:rsidR="00AE17A6" w:rsidRPr="00DE3DAA">
        <w:rPr>
          <w:rStyle w:val="ae"/>
          <w:rFonts w:ascii="Times New Roman" w:eastAsia="맑은 고딕" w:hAnsi="Times New Roman" w:cs="Times New Roman"/>
          <w:sz w:val="26"/>
          <w:szCs w:val="26"/>
        </w:rPr>
        <w:footnoteReference w:id="302"/>
      </w:r>
      <w:r w:rsidR="00E822DC" w:rsidRPr="00DE3DAA">
        <w:rPr>
          <w:rFonts w:ascii="Times New Roman" w:eastAsia="맑은 고딕" w:hAnsi="Times New Roman" w:cs="Times New Roman"/>
          <w:sz w:val="26"/>
          <w:szCs w:val="26"/>
        </w:rPr>
        <w:t xml:space="preserve"> </w:t>
      </w:r>
      <w:r w:rsidR="000A76DF" w:rsidRPr="00DE3DAA">
        <w:rPr>
          <w:rFonts w:ascii="Times New Roman" w:eastAsia="맑은 고딕" w:hAnsi="Times New Roman" w:cs="Times New Roman"/>
          <w:sz w:val="26"/>
          <w:szCs w:val="26"/>
        </w:rPr>
        <w:t xml:space="preserve">As a result </w:t>
      </w:r>
      <w:r w:rsidR="00C40C51" w:rsidRPr="00DE3DAA">
        <w:rPr>
          <w:rFonts w:ascii="Times New Roman" w:eastAsia="맑은 고딕" w:hAnsi="Times New Roman" w:cs="Times New Roman"/>
          <w:sz w:val="26"/>
          <w:szCs w:val="26"/>
        </w:rPr>
        <w:t>of these pressures which exerted themselves most strongly upon the government, the robust measures to strengthen the protection of the entitlements and specific legitimate expectations of pension scheme members</w:t>
      </w:r>
      <w:r w:rsidR="000D21CA" w:rsidRPr="00DE3DAA">
        <w:rPr>
          <w:rFonts w:ascii="Times New Roman" w:eastAsia="맑은 고딕" w:hAnsi="Times New Roman" w:cs="Times New Roman"/>
          <w:sz w:val="26"/>
          <w:szCs w:val="26"/>
        </w:rPr>
        <w:t xml:space="preserve"> having been proposed by the Review Committee</w:t>
      </w:r>
      <w:r w:rsidR="00C40C51" w:rsidRPr="00DE3DAA">
        <w:rPr>
          <w:rFonts w:ascii="Times New Roman" w:eastAsia="맑은 고딕" w:hAnsi="Times New Roman" w:cs="Times New Roman"/>
          <w:sz w:val="26"/>
          <w:szCs w:val="26"/>
        </w:rPr>
        <w:t xml:space="preserve"> but those measures did not seek to reform occupational pension scheme provision in any more fundamental respect, no doubt regarding such reform as a matter of high policy for the government rather than for them.</w:t>
      </w:r>
      <w:r w:rsidR="00AE17A6" w:rsidRPr="00DE3DAA">
        <w:rPr>
          <w:rStyle w:val="ae"/>
          <w:rFonts w:ascii="Times New Roman" w:eastAsia="맑은 고딕" w:hAnsi="Times New Roman" w:cs="Times New Roman"/>
          <w:sz w:val="26"/>
          <w:szCs w:val="26"/>
        </w:rPr>
        <w:footnoteReference w:id="303"/>
      </w:r>
      <w:r w:rsidR="000A18DD" w:rsidRPr="00DE3DAA">
        <w:rPr>
          <w:rFonts w:ascii="Times New Roman" w:eastAsia="맑은 고딕" w:hAnsi="Times New Roman" w:cs="Times New Roman"/>
          <w:sz w:val="26"/>
          <w:szCs w:val="26"/>
        </w:rPr>
        <w:t xml:space="preserve"> From this starting point, the government </w:t>
      </w:r>
      <w:r w:rsidR="0077643E" w:rsidRPr="00DE3DAA">
        <w:rPr>
          <w:rFonts w:ascii="Times New Roman" w:eastAsia="맑은 고딕" w:hAnsi="Times New Roman" w:cs="Times New Roman"/>
          <w:sz w:val="26"/>
          <w:szCs w:val="26"/>
        </w:rPr>
        <w:t xml:space="preserve">put </w:t>
      </w:r>
      <w:r w:rsidR="000A18DD" w:rsidRPr="00DE3DAA">
        <w:rPr>
          <w:rFonts w:ascii="Times New Roman" w:eastAsia="맑은 고딕" w:hAnsi="Times New Roman" w:cs="Times New Roman"/>
          <w:sz w:val="26"/>
          <w:szCs w:val="26"/>
        </w:rPr>
        <w:t>forward legislation which, as ultimately enacted in the shape of the Pensions Act 1995, combined a cautious implementation of the scheme-member-protective regime proposed by the Review Committee, and a response to immediate and longer-term pressures for equalization of pension provision between men and women, with various moves which would enable state provision to be gradually limited while conti</w:t>
      </w:r>
      <w:r w:rsidR="000D21CA" w:rsidRPr="00DE3DAA">
        <w:rPr>
          <w:rFonts w:ascii="Times New Roman" w:eastAsia="맑은 고딕" w:hAnsi="Times New Roman" w:cs="Times New Roman"/>
          <w:sz w:val="26"/>
          <w:szCs w:val="26"/>
        </w:rPr>
        <w:t>nuing</w:t>
      </w:r>
      <w:r w:rsidR="000A18DD" w:rsidRPr="00DE3DAA">
        <w:rPr>
          <w:rFonts w:ascii="Times New Roman" w:eastAsia="맑은 고딕" w:hAnsi="Times New Roman" w:cs="Times New Roman"/>
          <w:sz w:val="26"/>
          <w:szCs w:val="26"/>
        </w:rPr>
        <w:t xml:space="preserve"> the underlying </w:t>
      </w:r>
      <w:r w:rsidR="00F73B9C" w:rsidRPr="00DE3DAA">
        <w:rPr>
          <w:rFonts w:ascii="Times New Roman" w:eastAsia="맑은 고딕" w:hAnsi="Times New Roman" w:cs="Times New Roman"/>
          <w:sz w:val="26"/>
          <w:szCs w:val="26"/>
        </w:rPr>
        <w:t>liberalization of the regime for private occupational pension provision.</w:t>
      </w:r>
      <w:r w:rsidR="00AE17A6" w:rsidRPr="00DE3DAA">
        <w:rPr>
          <w:rStyle w:val="ae"/>
          <w:rFonts w:ascii="Times New Roman" w:eastAsia="맑은 고딕" w:hAnsi="Times New Roman" w:cs="Times New Roman"/>
          <w:sz w:val="26"/>
          <w:szCs w:val="26"/>
        </w:rPr>
        <w:footnoteReference w:id="304"/>
      </w:r>
      <w:r w:rsidR="00F73B9C" w:rsidRPr="00DE3DAA">
        <w:rPr>
          <w:rFonts w:ascii="Times New Roman" w:eastAsia="맑은 고딕" w:hAnsi="Times New Roman" w:cs="Times New Roman"/>
          <w:sz w:val="26"/>
          <w:szCs w:val="26"/>
        </w:rPr>
        <w:t xml:space="preserve"> </w:t>
      </w:r>
      <w:r w:rsidR="0062176A" w:rsidRPr="00DE3DAA">
        <w:rPr>
          <w:rFonts w:ascii="Times New Roman" w:eastAsia="맑은 고딕" w:hAnsi="Times New Roman" w:cs="Times New Roman"/>
          <w:sz w:val="26"/>
          <w:szCs w:val="26"/>
        </w:rPr>
        <w:t xml:space="preserve">Even though the measures for </w:t>
      </w:r>
      <w:r w:rsidR="00480631" w:rsidRPr="00DE3DAA">
        <w:rPr>
          <w:rFonts w:ascii="Times New Roman" w:eastAsia="맑은 고딕" w:hAnsi="Times New Roman" w:cs="Times New Roman"/>
          <w:sz w:val="26"/>
          <w:szCs w:val="26"/>
        </w:rPr>
        <w:t xml:space="preserve">member protection and gender </w:t>
      </w:r>
      <w:proofErr w:type="spellStart"/>
      <w:r w:rsidR="00480631" w:rsidRPr="00DE3DAA">
        <w:rPr>
          <w:rFonts w:ascii="Times New Roman" w:eastAsia="맑은 고딕" w:hAnsi="Times New Roman" w:cs="Times New Roman"/>
          <w:sz w:val="26"/>
          <w:szCs w:val="26"/>
        </w:rPr>
        <w:lastRenderedPageBreak/>
        <w:t>equalisation</w:t>
      </w:r>
      <w:proofErr w:type="spellEnd"/>
      <w:r w:rsidR="00480631" w:rsidRPr="00DE3DAA">
        <w:rPr>
          <w:rFonts w:ascii="Times New Roman" w:eastAsia="맑은 고딕" w:hAnsi="Times New Roman" w:cs="Times New Roman"/>
          <w:sz w:val="26"/>
          <w:szCs w:val="26"/>
        </w:rPr>
        <w:t xml:space="preserve"> in the management of occupational pension schemes were considered important, it is the tendencies towards de-regulation, </w:t>
      </w:r>
      <w:proofErr w:type="spellStart"/>
      <w:r w:rsidR="00480631" w:rsidRPr="00DE3DAA">
        <w:rPr>
          <w:rFonts w:ascii="Times New Roman" w:eastAsia="맑은 고딕" w:hAnsi="Times New Roman" w:cs="Times New Roman"/>
          <w:sz w:val="26"/>
          <w:szCs w:val="26"/>
        </w:rPr>
        <w:t>liberalisation</w:t>
      </w:r>
      <w:proofErr w:type="spellEnd"/>
      <w:r w:rsidR="00480631" w:rsidRPr="00DE3DAA">
        <w:rPr>
          <w:rFonts w:ascii="Times New Roman" w:eastAsia="맑은 고딕" w:hAnsi="Times New Roman" w:cs="Times New Roman"/>
          <w:sz w:val="26"/>
          <w:szCs w:val="26"/>
        </w:rPr>
        <w:t xml:space="preserve"> and the general downgrading or relaxation of pension expectations which require attention for their continuing significance.</w:t>
      </w:r>
      <w:r w:rsidR="00AE17A6" w:rsidRPr="00DE3DAA">
        <w:rPr>
          <w:rStyle w:val="ae"/>
          <w:rFonts w:ascii="Times New Roman" w:eastAsia="맑은 고딕" w:hAnsi="Times New Roman" w:cs="Times New Roman"/>
          <w:sz w:val="26"/>
          <w:szCs w:val="26"/>
        </w:rPr>
        <w:footnoteReference w:id="305"/>
      </w:r>
      <w:r w:rsidR="00291635" w:rsidRPr="00DE3DAA">
        <w:rPr>
          <w:rFonts w:ascii="Times New Roman" w:eastAsia="맑은 고딕" w:hAnsi="Times New Roman" w:cs="Times New Roman"/>
          <w:sz w:val="26"/>
          <w:szCs w:val="26"/>
        </w:rPr>
        <w:t xml:space="preserve"> That is, </w:t>
      </w:r>
      <w:r w:rsidR="00093678" w:rsidRPr="00DE3DAA">
        <w:rPr>
          <w:rFonts w:ascii="Times New Roman" w:eastAsia="맑은 고딕" w:hAnsi="Times New Roman" w:cs="Times New Roman"/>
          <w:sz w:val="26"/>
          <w:szCs w:val="26"/>
        </w:rPr>
        <w:t>the downgrading</w:t>
      </w:r>
      <w:r w:rsidR="00AE17A6" w:rsidRPr="00DE3DAA">
        <w:rPr>
          <w:rStyle w:val="ae"/>
          <w:rFonts w:ascii="Times New Roman" w:eastAsia="맑은 고딕" w:hAnsi="Times New Roman" w:cs="Times New Roman"/>
          <w:sz w:val="26"/>
          <w:szCs w:val="26"/>
        </w:rPr>
        <w:footnoteReference w:id="306"/>
      </w:r>
      <w:r w:rsidR="00093678" w:rsidRPr="00DE3DAA">
        <w:rPr>
          <w:rFonts w:ascii="Times New Roman" w:eastAsia="맑은 고딕" w:hAnsi="Times New Roman" w:cs="Times New Roman"/>
          <w:sz w:val="26"/>
          <w:szCs w:val="26"/>
        </w:rPr>
        <w:t xml:space="preserve"> of the previous requirements for </w:t>
      </w:r>
      <w:r w:rsidR="008E7034" w:rsidRPr="00DE3DAA">
        <w:rPr>
          <w:rFonts w:ascii="Times New Roman" w:eastAsia="맑은 고딕" w:hAnsi="Times New Roman" w:cs="Times New Roman"/>
          <w:sz w:val="26"/>
          <w:szCs w:val="26"/>
        </w:rPr>
        <w:t xml:space="preserve">guaranteed minimum pension provision as a condition for contracting out of the State Earnings-Related Pension Scheme </w:t>
      </w:r>
      <w:r w:rsidR="00020380" w:rsidRPr="00DE3DAA">
        <w:rPr>
          <w:rFonts w:ascii="Times New Roman" w:eastAsia="맑은 고딕" w:hAnsi="Times New Roman" w:cs="Times New Roman"/>
          <w:sz w:val="26"/>
          <w:szCs w:val="26"/>
        </w:rPr>
        <w:t xml:space="preserve">illustrated </w:t>
      </w:r>
      <w:r w:rsidR="008E7034" w:rsidRPr="00DE3DAA">
        <w:rPr>
          <w:rFonts w:ascii="Times New Roman" w:eastAsia="맑은 고딕" w:hAnsi="Times New Roman" w:cs="Times New Roman"/>
          <w:sz w:val="26"/>
          <w:szCs w:val="26"/>
        </w:rPr>
        <w:t>a kicking away of one of the props which supported the structure of final-salary-related fixed pension benefits, and the introduction</w:t>
      </w:r>
      <w:r w:rsidR="00AE17A6" w:rsidRPr="00DE3DAA">
        <w:rPr>
          <w:rStyle w:val="ae"/>
          <w:rFonts w:ascii="Times New Roman" w:eastAsia="맑은 고딕" w:hAnsi="Times New Roman" w:cs="Times New Roman"/>
          <w:sz w:val="26"/>
          <w:szCs w:val="26"/>
        </w:rPr>
        <w:footnoteReference w:id="307"/>
      </w:r>
      <w:r w:rsidR="008E7034" w:rsidRPr="00DE3DAA">
        <w:rPr>
          <w:rFonts w:ascii="Times New Roman" w:eastAsia="맑은 고딕" w:hAnsi="Times New Roman" w:cs="Times New Roman"/>
          <w:sz w:val="26"/>
          <w:szCs w:val="26"/>
        </w:rPr>
        <w:t>of the new Guaranteed Minimum Funding Requirement for occupational pension schemes did not in any real sense provide an equivalent guarantee.</w:t>
      </w:r>
      <w:r w:rsidR="00B05454" w:rsidRPr="00DE3DAA">
        <w:rPr>
          <w:rFonts w:ascii="Times New Roman" w:eastAsia="맑은 고딕" w:hAnsi="Times New Roman" w:cs="Times New Roman"/>
          <w:sz w:val="26"/>
          <w:szCs w:val="26"/>
        </w:rPr>
        <w:t xml:space="preserve"> </w:t>
      </w:r>
      <w:proofErr w:type="gramStart"/>
      <w:r w:rsidR="00020380" w:rsidRPr="00DE3DAA">
        <w:rPr>
          <w:rFonts w:ascii="Times New Roman" w:eastAsia="맑은 고딕" w:hAnsi="Times New Roman" w:cs="Times New Roman"/>
          <w:sz w:val="26"/>
          <w:szCs w:val="26"/>
        </w:rPr>
        <w:t>Also</w:t>
      </w:r>
      <w:proofErr w:type="gramEnd"/>
      <w:r w:rsidR="00020380" w:rsidRPr="00DE3DAA">
        <w:rPr>
          <w:rFonts w:ascii="Times New Roman" w:eastAsia="맑은 고딕" w:hAnsi="Times New Roman" w:cs="Times New Roman"/>
          <w:sz w:val="26"/>
          <w:szCs w:val="26"/>
        </w:rPr>
        <w:t xml:space="preserve"> again</w:t>
      </w:r>
      <w:r w:rsidR="00B05454" w:rsidRPr="00DE3DAA">
        <w:rPr>
          <w:rFonts w:ascii="Times New Roman" w:eastAsia="맑은 고딕" w:hAnsi="Times New Roman" w:cs="Times New Roman"/>
          <w:sz w:val="26"/>
          <w:szCs w:val="26"/>
        </w:rPr>
        <w:t>, the gender equalization of the state pension age consisted of a downward adjustment to women’s state pension entitlement- the staged postponement of that entitlement from the age of 60 to that of 65</w:t>
      </w:r>
      <w:r w:rsidR="00BD7875" w:rsidRPr="00DE3DAA">
        <w:rPr>
          <w:rFonts w:ascii="Times New Roman" w:eastAsia="맑은 고딕" w:hAnsi="Times New Roman" w:cs="Times New Roman"/>
          <w:sz w:val="26"/>
          <w:szCs w:val="26"/>
        </w:rPr>
        <w:t>,</w:t>
      </w:r>
      <w:r w:rsidR="00B05454" w:rsidRPr="00DE3DAA">
        <w:rPr>
          <w:rFonts w:ascii="Times New Roman" w:eastAsia="맑은 고딕" w:hAnsi="Times New Roman" w:cs="Times New Roman"/>
          <w:sz w:val="26"/>
          <w:szCs w:val="26"/>
        </w:rPr>
        <w:t xml:space="preserve"> rather than an upward adjustment from the age of </w:t>
      </w:r>
      <w:r w:rsidR="001B35CA" w:rsidRPr="00DE3DAA">
        <w:rPr>
          <w:rFonts w:ascii="Times New Roman" w:eastAsia="맑은 고딕" w:hAnsi="Times New Roman" w:cs="Times New Roman"/>
          <w:sz w:val="26"/>
          <w:szCs w:val="26"/>
        </w:rPr>
        <w:t>that of men, or a convergence upwards and downwards of women’s and men’s state pension ages.</w:t>
      </w:r>
      <w:r w:rsidR="00086935" w:rsidRPr="00DE3DAA">
        <w:rPr>
          <w:rFonts w:ascii="Times New Roman" w:eastAsia="맑은 고딕" w:hAnsi="Times New Roman" w:cs="Times New Roman"/>
          <w:sz w:val="26"/>
          <w:szCs w:val="26"/>
        </w:rPr>
        <w:t xml:space="preserve"> </w:t>
      </w:r>
      <w:r w:rsidR="00BD7875" w:rsidRPr="00DE3DAA">
        <w:rPr>
          <w:rFonts w:ascii="Times New Roman" w:eastAsia="맑은 고딕" w:hAnsi="Times New Roman" w:cs="Times New Roman"/>
          <w:sz w:val="26"/>
          <w:szCs w:val="26"/>
        </w:rPr>
        <w:t>That is</w:t>
      </w:r>
      <w:r w:rsidR="00086935" w:rsidRPr="00DE3DAA">
        <w:rPr>
          <w:rFonts w:ascii="Times New Roman" w:eastAsia="맑은 고딕" w:hAnsi="Times New Roman" w:cs="Times New Roman"/>
          <w:sz w:val="26"/>
          <w:szCs w:val="26"/>
        </w:rPr>
        <w:t>, there were measures which further encouraged saving for retirement via pe</w:t>
      </w:r>
      <w:r w:rsidR="00020380" w:rsidRPr="00DE3DAA">
        <w:rPr>
          <w:rFonts w:ascii="Times New Roman" w:eastAsia="맑은 고딕" w:hAnsi="Times New Roman" w:cs="Times New Roman"/>
          <w:sz w:val="26"/>
          <w:szCs w:val="26"/>
        </w:rPr>
        <w:t xml:space="preserve">rsonal pension provision on the more speculative and less protective money-purchase basis rather than via occupational scheme-based provision </w:t>
      </w:r>
      <w:proofErr w:type="gramStart"/>
      <w:r w:rsidR="00020380" w:rsidRPr="00DE3DAA">
        <w:rPr>
          <w:rFonts w:ascii="Times New Roman" w:eastAsia="맑은 고딕" w:hAnsi="Times New Roman" w:cs="Times New Roman"/>
          <w:sz w:val="26"/>
          <w:szCs w:val="26"/>
        </w:rPr>
        <w:t>on the basis of</w:t>
      </w:r>
      <w:proofErr w:type="gramEnd"/>
      <w:r w:rsidR="00020380" w:rsidRPr="00DE3DAA">
        <w:rPr>
          <w:rFonts w:ascii="Times New Roman" w:eastAsia="맑은 고딕" w:hAnsi="Times New Roman" w:cs="Times New Roman"/>
          <w:sz w:val="26"/>
          <w:szCs w:val="26"/>
        </w:rPr>
        <w:t xml:space="preserve"> defined benefits related to final salary.</w:t>
      </w:r>
      <w:r w:rsidR="00AE17A6" w:rsidRPr="00DE3DAA">
        <w:rPr>
          <w:rStyle w:val="ae"/>
          <w:rFonts w:ascii="Times New Roman" w:eastAsia="맑은 고딕" w:hAnsi="Times New Roman" w:cs="Times New Roman"/>
          <w:sz w:val="26"/>
          <w:szCs w:val="26"/>
        </w:rPr>
        <w:footnoteReference w:id="308"/>
      </w:r>
      <w:r w:rsidR="00145EDC" w:rsidRPr="00DE3DAA">
        <w:rPr>
          <w:rFonts w:ascii="Times New Roman" w:eastAsia="맑은 고딕" w:hAnsi="Times New Roman" w:cs="Times New Roman"/>
          <w:sz w:val="26"/>
          <w:szCs w:val="26"/>
        </w:rPr>
        <w:t xml:space="preserve"> </w:t>
      </w:r>
      <w:r w:rsidR="00A75840" w:rsidRPr="00DE3DAA">
        <w:rPr>
          <w:rFonts w:ascii="Times New Roman" w:eastAsia="맑은 고딕" w:hAnsi="Times New Roman" w:cs="Times New Roman"/>
          <w:sz w:val="26"/>
          <w:szCs w:val="26"/>
        </w:rPr>
        <w:t xml:space="preserve">Richard Nobles </w:t>
      </w:r>
      <w:r w:rsidR="007F00CC" w:rsidRPr="00DE3DAA">
        <w:rPr>
          <w:rFonts w:ascii="Times New Roman" w:eastAsia="맑은 고딕" w:hAnsi="Times New Roman" w:cs="Times New Roman"/>
          <w:sz w:val="26"/>
          <w:szCs w:val="26"/>
        </w:rPr>
        <w:t>concluded like that;</w:t>
      </w:r>
    </w:p>
    <w:p w14:paraId="78CA38DB" w14:textId="00F42AE4" w:rsidR="00A75840" w:rsidRPr="00DE3DAA" w:rsidRDefault="00A75840" w:rsidP="00F04349">
      <w:pPr>
        <w:pStyle w:val="a3"/>
        <w:ind w:leftChars="0" w:left="1520"/>
        <w:rPr>
          <w:rFonts w:ascii="Times New Roman" w:eastAsia="맑은 고딕" w:hAnsi="Times New Roman" w:cs="Times New Roman"/>
          <w:sz w:val="26"/>
          <w:szCs w:val="26"/>
        </w:rPr>
      </w:pPr>
    </w:p>
    <w:p w14:paraId="321E0DB9" w14:textId="706D87DC" w:rsidR="00A75840" w:rsidRPr="00DE3DAA" w:rsidRDefault="00A75840" w:rsidP="00F04349">
      <w:pPr>
        <w:pStyle w:val="a3"/>
        <w:ind w:leftChars="0" w:left="1520"/>
        <w:rPr>
          <w:rFonts w:ascii="Times New Roman" w:eastAsia="맑은 고딕" w:hAnsi="Times New Roman" w:cs="Times New Roman"/>
          <w:sz w:val="26"/>
          <w:szCs w:val="26"/>
        </w:rPr>
      </w:pPr>
      <w:r w:rsidRPr="00DE3DAA">
        <w:rPr>
          <w:rFonts w:ascii="Times New Roman" w:eastAsia="맑은 고딕" w:hAnsi="Times New Roman" w:cs="Times New Roman"/>
          <w:sz w:val="26"/>
          <w:szCs w:val="26"/>
        </w:rPr>
        <w:t xml:space="preserve">This is an Act in which pension policy is structured by the government’s perceptions of what cannot be afforded; taxpayers in the next century cannot afford the levels of state pensions previously promised and private pension providers (especially employers) cannot afford to pay significantly more towards private pensions that they do at present. These perceptions represent a severe constraint on pensions policy. The state is not only unable to offer adequate state pensions, but it cannot coerce the private sector into offering </w:t>
      </w:r>
      <w:r w:rsidRPr="00DE3DAA">
        <w:rPr>
          <w:rFonts w:ascii="Times New Roman" w:eastAsia="맑은 고딕" w:hAnsi="Times New Roman" w:cs="Times New Roman"/>
          <w:sz w:val="26"/>
          <w:szCs w:val="26"/>
        </w:rPr>
        <w:lastRenderedPageBreak/>
        <w:t xml:space="preserve">secure and adequate private provision </w:t>
      </w:r>
      <w:r w:rsidR="007F00CC" w:rsidRPr="00DE3DAA">
        <w:rPr>
          <w:rFonts w:ascii="Times New Roman" w:eastAsia="맑은 고딕" w:hAnsi="Times New Roman" w:cs="Times New Roman"/>
          <w:sz w:val="26"/>
          <w:szCs w:val="26"/>
        </w:rPr>
        <w:t>[emphasis added].</w:t>
      </w:r>
      <w:r w:rsidR="00AE17A6" w:rsidRPr="00DE3DAA">
        <w:rPr>
          <w:rStyle w:val="ae"/>
          <w:rFonts w:ascii="Times New Roman" w:eastAsia="맑은 고딕" w:hAnsi="Times New Roman" w:cs="Times New Roman"/>
          <w:sz w:val="26"/>
          <w:szCs w:val="26"/>
        </w:rPr>
        <w:footnoteReference w:id="309"/>
      </w:r>
      <w:r w:rsidRPr="00DE3DAA">
        <w:rPr>
          <w:rFonts w:ascii="Times New Roman" w:eastAsia="맑은 고딕" w:hAnsi="Times New Roman" w:cs="Times New Roman"/>
          <w:sz w:val="26"/>
          <w:szCs w:val="26"/>
        </w:rPr>
        <w:t xml:space="preserve"> </w:t>
      </w:r>
    </w:p>
    <w:p w14:paraId="7AD7FBA9" w14:textId="55FA1141" w:rsidR="008E7034" w:rsidRPr="00DE3DAA" w:rsidRDefault="008E7034" w:rsidP="00F04349">
      <w:pPr>
        <w:pStyle w:val="a3"/>
        <w:ind w:leftChars="0" w:left="1520"/>
        <w:rPr>
          <w:rFonts w:ascii="Times New Roman" w:hAnsi="Times New Roman" w:cs="Times New Roman"/>
          <w:sz w:val="26"/>
          <w:szCs w:val="26"/>
        </w:rPr>
      </w:pPr>
    </w:p>
    <w:p w14:paraId="7574DADA" w14:textId="5F8F1EDF" w:rsidR="008E7034" w:rsidRPr="00DE3DAA" w:rsidRDefault="0049655B" w:rsidP="00F04349">
      <w:pPr>
        <w:pStyle w:val="a3"/>
        <w:ind w:leftChars="0" w:left="1520"/>
        <w:rPr>
          <w:rFonts w:ascii="Times New Roman" w:hAnsi="Times New Roman" w:cs="Times New Roman"/>
          <w:sz w:val="26"/>
          <w:szCs w:val="26"/>
        </w:rPr>
      </w:pPr>
      <w:r w:rsidRPr="00DE3DAA">
        <w:rPr>
          <w:rFonts w:ascii="Times New Roman" w:hAnsi="Times New Roman" w:cs="Times New Roman"/>
          <w:sz w:val="26"/>
          <w:szCs w:val="26"/>
        </w:rPr>
        <w:t>B</w:t>
      </w:r>
      <w:r w:rsidR="007F00CC" w:rsidRPr="00DE3DAA">
        <w:rPr>
          <w:rFonts w:ascii="Times New Roman" w:hAnsi="Times New Roman" w:cs="Times New Roman"/>
          <w:sz w:val="26"/>
          <w:szCs w:val="26"/>
        </w:rPr>
        <w:t xml:space="preserve">ehind a rhetorical façade of enhancement of protection, fairness, and freedom of choice for workers, </w:t>
      </w:r>
      <w:proofErr w:type="gramStart"/>
      <w:r w:rsidR="007F00CC" w:rsidRPr="00DE3DAA">
        <w:rPr>
          <w:rFonts w:ascii="Times New Roman" w:hAnsi="Times New Roman" w:cs="Times New Roman"/>
          <w:sz w:val="26"/>
          <w:szCs w:val="26"/>
        </w:rPr>
        <w:t>with regard to</w:t>
      </w:r>
      <w:proofErr w:type="gramEnd"/>
      <w:r w:rsidR="007C12D3" w:rsidRPr="00DE3DAA">
        <w:rPr>
          <w:rFonts w:ascii="Times New Roman" w:hAnsi="Times New Roman" w:cs="Times New Roman"/>
          <w:sz w:val="26"/>
          <w:szCs w:val="26"/>
        </w:rPr>
        <w:t xml:space="preserve"> the provision of retirement pensions, this legislation actually continued the gradual</w:t>
      </w:r>
      <w:r w:rsidRPr="00DE3DAA">
        <w:rPr>
          <w:rFonts w:ascii="Times New Roman" w:hAnsi="Times New Roman" w:cs="Times New Roman"/>
          <w:sz w:val="26"/>
          <w:szCs w:val="26"/>
        </w:rPr>
        <w:t xml:space="preserve"> draw back</w:t>
      </w:r>
      <w:r w:rsidR="007C12D3" w:rsidRPr="00DE3DAA">
        <w:rPr>
          <w:rFonts w:ascii="Times New Roman" w:hAnsi="Times New Roman" w:cs="Times New Roman"/>
          <w:sz w:val="26"/>
          <w:szCs w:val="26"/>
        </w:rPr>
        <w:t xml:space="preserve"> </w:t>
      </w:r>
      <w:r w:rsidRPr="00DE3DAA">
        <w:rPr>
          <w:rFonts w:ascii="Times New Roman" w:hAnsi="Times New Roman" w:cs="Times New Roman"/>
          <w:sz w:val="26"/>
          <w:szCs w:val="26"/>
        </w:rPr>
        <w:t>of the state from the direct and indirect responsibilities for pension provision assumed by earlier administrations, upon which the government had commenced in the 1980s.</w:t>
      </w:r>
      <w:r w:rsidR="00E3419D" w:rsidRPr="00DE3DAA">
        <w:rPr>
          <w:rStyle w:val="ae"/>
          <w:rFonts w:ascii="Times New Roman" w:hAnsi="Times New Roman" w:cs="Times New Roman"/>
          <w:sz w:val="26"/>
          <w:szCs w:val="26"/>
        </w:rPr>
        <w:footnoteReference w:id="310"/>
      </w:r>
      <w:r w:rsidRPr="00DE3DAA">
        <w:rPr>
          <w:rFonts w:ascii="Times New Roman" w:hAnsi="Times New Roman" w:cs="Times New Roman"/>
          <w:sz w:val="26"/>
          <w:szCs w:val="26"/>
        </w:rPr>
        <w:t xml:space="preserve"> </w:t>
      </w:r>
    </w:p>
    <w:p w14:paraId="08E85AB2" w14:textId="6D1413FB" w:rsidR="009A57E0" w:rsidRPr="00DE3DAA" w:rsidRDefault="009A57E0" w:rsidP="00F04349">
      <w:pPr>
        <w:pStyle w:val="a3"/>
        <w:ind w:leftChars="0" w:left="1520"/>
        <w:rPr>
          <w:rFonts w:ascii="Times New Roman" w:hAnsi="Times New Roman" w:cs="Times New Roman"/>
          <w:sz w:val="26"/>
          <w:szCs w:val="26"/>
        </w:rPr>
      </w:pPr>
    </w:p>
    <w:p w14:paraId="0CF16513" w14:textId="1CACE34E" w:rsidR="00B27B5C" w:rsidRPr="00DE3DAA" w:rsidRDefault="00CD1080" w:rsidP="00F04349">
      <w:pPr>
        <w:pStyle w:val="a3"/>
        <w:ind w:leftChars="0" w:left="1520"/>
        <w:rPr>
          <w:rFonts w:ascii="Times New Roman" w:hAnsi="Times New Roman" w:cs="Times New Roman"/>
          <w:sz w:val="26"/>
          <w:szCs w:val="26"/>
        </w:rPr>
      </w:pPr>
      <w:r w:rsidRPr="00DE3DAA">
        <w:rPr>
          <w:rFonts w:ascii="Times New Roman" w:hAnsi="Times New Roman" w:cs="Times New Roman"/>
          <w:sz w:val="26"/>
          <w:szCs w:val="26"/>
        </w:rPr>
        <w:t>Just as seen that th</w:t>
      </w:r>
      <w:r w:rsidR="0073117E" w:rsidRPr="00DE3DAA">
        <w:rPr>
          <w:rFonts w:ascii="Times New Roman" w:hAnsi="Times New Roman" w:cs="Times New Roman"/>
          <w:sz w:val="26"/>
          <w:szCs w:val="26"/>
        </w:rPr>
        <w:t xml:space="preserve">e Major administration </w:t>
      </w:r>
      <w:r w:rsidRPr="00DE3DAA">
        <w:rPr>
          <w:rFonts w:ascii="Times New Roman" w:hAnsi="Times New Roman" w:cs="Times New Roman"/>
          <w:sz w:val="26"/>
          <w:szCs w:val="26"/>
        </w:rPr>
        <w:t xml:space="preserve">showed marked caution in </w:t>
      </w:r>
      <w:r w:rsidR="00BB20B0" w:rsidRPr="00DE3DAA">
        <w:rPr>
          <w:rFonts w:ascii="Times New Roman" w:hAnsi="Times New Roman" w:cs="Times New Roman"/>
          <w:sz w:val="26"/>
          <w:szCs w:val="26"/>
        </w:rPr>
        <w:t>approaching towards the</w:t>
      </w:r>
      <w:r w:rsidRPr="00DE3DAA">
        <w:rPr>
          <w:rFonts w:ascii="Times New Roman" w:hAnsi="Times New Roman" w:cs="Times New Roman"/>
          <w:sz w:val="26"/>
          <w:szCs w:val="26"/>
        </w:rPr>
        <w:t xml:space="preserve"> demands for the development of basic </w:t>
      </w:r>
      <w:proofErr w:type="spellStart"/>
      <w:r w:rsidRPr="00DE3DAA">
        <w:rPr>
          <w:rFonts w:ascii="Times New Roman" w:hAnsi="Times New Roman" w:cs="Times New Roman"/>
          <w:sz w:val="26"/>
          <w:szCs w:val="26"/>
        </w:rPr>
        <w:t>labour</w:t>
      </w:r>
      <w:proofErr w:type="spellEnd"/>
      <w:r w:rsidRPr="00DE3DAA">
        <w:rPr>
          <w:rFonts w:ascii="Times New Roman" w:hAnsi="Times New Roman" w:cs="Times New Roman"/>
          <w:sz w:val="26"/>
          <w:szCs w:val="26"/>
        </w:rPr>
        <w:t xml:space="preserve"> standards, so it was also suspicious of negative effects on managerial flexibility so far as the recognition of human and equality rights was concerned.</w:t>
      </w:r>
      <w:r w:rsidR="00CA3B86" w:rsidRPr="00DE3DAA">
        <w:rPr>
          <w:rFonts w:ascii="Times New Roman" w:hAnsi="Times New Roman" w:cs="Times New Roman"/>
          <w:sz w:val="26"/>
          <w:szCs w:val="26"/>
        </w:rPr>
        <w:t xml:space="preserve"> </w:t>
      </w:r>
      <w:r w:rsidR="00590358" w:rsidRPr="00DE3DAA">
        <w:rPr>
          <w:rStyle w:val="ae"/>
          <w:rFonts w:ascii="Times New Roman" w:hAnsi="Times New Roman" w:cs="Times New Roman"/>
          <w:sz w:val="26"/>
          <w:szCs w:val="26"/>
        </w:rPr>
        <w:footnoteReference w:id="311"/>
      </w:r>
      <w:r w:rsidR="00CA3B86" w:rsidRPr="00DE3DAA">
        <w:rPr>
          <w:rFonts w:ascii="Times New Roman" w:hAnsi="Times New Roman" w:cs="Times New Roman"/>
          <w:sz w:val="26"/>
          <w:szCs w:val="26"/>
        </w:rPr>
        <w:t xml:space="preserve">The major illustration of this tendency is to be found in the history and content of the Disability Discrimination Act 1995. </w:t>
      </w:r>
      <w:r w:rsidR="00CC440E" w:rsidRPr="00DE3DAA">
        <w:rPr>
          <w:rFonts w:ascii="Times New Roman" w:hAnsi="Times New Roman" w:cs="Times New Roman"/>
          <w:sz w:val="26"/>
          <w:szCs w:val="26"/>
        </w:rPr>
        <w:t>It has been argued that al</w:t>
      </w:r>
      <w:r w:rsidR="00E64EC3" w:rsidRPr="00DE3DAA">
        <w:rPr>
          <w:rFonts w:ascii="Times New Roman" w:hAnsi="Times New Roman" w:cs="Times New Roman"/>
          <w:sz w:val="26"/>
          <w:szCs w:val="26"/>
        </w:rPr>
        <w:t xml:space="preserve">though this act represented a very important advance in the recognition of equality rights, </w:t>
      </w:r>
      <w:r w:rsidR="00CC440E" w:rsidRPr="00DE3DAA">
        <w:rPr>
          <w:rFonts w:ascii="Times New Roman" w:hAnsi="Times New Roman" w:cs="Times New Roman"/>
          <w:sz w:val="26"/>
          <w:szCs w:val="26"/>
        </w:rPr>
        <w:t xml:space="preserve">it </w:t>
      </w:r>
      <w:r w:rsidR="00E64EC3" w:rsidRPr="00DE3DAA">
        <w:rPr>
          <w:rFonts w:ascii="Times New Roman" w:hAnsi="Times New Roman" w:cs="Times New Roman"/>
          <w:sz w:val="26"/>
          <w:szCs w:val="26"/>
        </w:rPr>
        <w:t>was limited in several significant respects by comparison with what the campaigners had hoped to achieve.</w:t>
      </w:r>
      <w:r w:rsidR="00590358" w:rsidRPr="00DE3DAA">
        <w:rPr>
          <w:rStyle w:val="ae"/>
          <w:rFonts w:ascii="Times New Roman" w:hAnsi="Times New Roman" w:cs="Times New Roman"/>
          <w:sz w:val="26"/>
          <w:szCs w:val="26"/>
        </w:rPr>
        <w:footnoteReference w:id="312"/>
      </w:r>
      <w:r w:rsidR="00603303" w:rsidRPr="00DE3DAA">
        <w:rPr>
          <w:rFonts w:ascii="Times New Roman" w:hAnsi="Times New Roman" w:cs="Times New Roman"/>
          <w:sz w:val="26"/>
          <w:szCs w:val="26"/>
        </w:rPr>
        <w:t xml:space="preserve"> </w:t>
      </w:r>
      <w:r w:rsidR="00CB2B96" w:rsidRPr="00DE3DAA">
        <w:rPr>
          <w:rFonts w:ascii="Times New Roman" w:hAnsi="Times New Roman" w:cs="Times New Roman"/>
          <w:sz w:val="26"/>
          <w:szCs w:val="26"/>
        </w:rPr>
        <w:t>In the employment field, the Act made it unlawful for employers to discriminate against disabled persons employed by them or against applicants for employment with them,</w:t>
      </w:r>
      <w:r w:rsidR="00590358" w:rsidRPr="00DE3DAA">
        <w:rPr>
          <w:rStyle w:val="ae"/>
          <w:rFonts w:ascii="Times New Roman" w:hAnsi="Times New Roman" w:cs="Times New Roman"/>
          <w:sz w:val="26"/>
          <w:szCs w:val="26"/>
        </w:rPr>
        <w:footnoteReference w:id="313"/>
      </w:r>
      <w:r w:rsidR="00CB2B96" w:rsidRPr="00DE3DAA">
        <w:rPr>
          <w:rFonts w:ascii="Times New Roman" w:hAnsi="Times New Roman" w:cs="Times New Roman"/>
          <w:sz w:val="26"/>
          <w:szCs w:val="26"/>
        </w:rPr>
        <w:t xml:space="preserve"> and also introduced a duty upon employers to make reasonable adjustment to their arrangements or their premises to prevent substantial disadvantage to disabled persons.</w:t>
      </w:r>
      <w:r w:rsidR="00590358" w:rsidRPr="00DE3DAA">
        <w:rPr>
          <w:rStyle w:val="ae"/>
          <w:rFonts w:ascii="Times New Roman" w:hAnsi="Times New Roman" w:cs="Times New Roman"/>
          <w:sz w:val="26"/>
          <w:szCs w:val="26"/>
        </w:rPr>
        <w:footnoteReference w:id="314"/>
      </w:r>
      <w:r w:rsidR="00937D3A" w:rsidRPr="00DE3DAA">
        <w:rPr>
          <w:rFonts w:ascii="Times New Roman" w:hAnsi="Times New Roman" w:cs="Times New Roman"/>
          <w:sz w:val="26"/>
          <w:szCs w:val="26"/>
        </w:rPr>
        <w:t xml:space="preserve"> </w:t>
      </w:r>
      <w:r w:rsidR="00885BE6" w:rsidRPr="00DE3DAA">
        <w:rPr>
          <w:rFonts w:ascii="Times New Roman" w:hAnsi="Times New Roman" w:cs="Times New Roman"/>
          <w:sz w:val="26"/>
          <w:szCs w:val="26"/>
        </w:rPr>
        <w:t xml:space="preserve">Even </w:t>
      </w:r>
      <w:r w:rsidR="00885BE6" w:rsidRPr="00DE3DAA">
        <w:rPr>
          <w:rFonts w:ascii="Times New Roman" w:hAnsi="Times New Roman" w:cs="Times New Roman"/>
          <w:sz w:val="26"/>
          <w:szCs w:val="26"/>
        </w:rPr>
        <w:lastRenderedPageBreak/>
        <w:t>though these were</w:t>
      </w:r>
      <w:r w:rsidR="00937D3A" w:rsidRPr="00DE3DAA">
        <w:rPr>
          <w:rFonts w:ascii="Times New Roman" w:hAnsi="Times New Roman" w:cs="Times New Roman"/>
          <w:sz w:val="26"/>
          <w:szCs w:val="26"/>
        </w:rPr>
        <w:t xml:space="preserve"> recognized very </w:t>
      </w:r>
      <w:r w:rsidR="00885BE6" w:rsidRPr="00DE3DAA">
        <w:rPr>
          <w:rFonts w:ascii="Times New Roman" w:hAnsi="Times New Roman" w:cs="Times New Roman"/>
          <w:sz w:val="26"/>
          <w:szCs w:val="26"/>
        </w:rPr>
        <w:t xml:space="preserve">remarkable measures which </w:t>
      </w:r>
      <w:r w:rsidR="00C93A2B" w:rsidRPr="00DE3DAA">
        <w:rPr>
          <w:rFonts w:ascii="Times New Roman" w:hAnsi="Times New Roman" w:cs="Times New Roman"/>
          <w:sz w:val="26"/>
          <w:szCs w:val="26"/>
        </w:rPr>
        <w:t>was</w:t>
      </w:r>
      <w:r w:rsidR="00885BE6" w:rsidRPr="00DE3DAA">
        <w:rPr>
          <w:rFonts w:ascii="Times New Roman" w:hAnsi="Times New Roman" w:cs="Times New Roman"/>
          <w:sz w:val="26"/>
          <w:szCs w:val="26"/>
        </w:rPr>
        <w:t xml:space="preserve"> exceptional in the history</w:t>
      </w:r>
      <w:r w:rsidR="00937D3A" w:rsidRPr="00DE3DAA">
        <w:rPr>
          <w:rFonts w:ascii="Times New Roman" w:hAnsi="Times New Roman" w:cs="Times New Roman"/>
          <w:sz w:val="26"/>
          <w:szCs w:val="26"/>
        </w:rPr>
        <w:t xml:space="preserve"> of the Major administration in</w:t>
      </w:r>
      <w:r w:rsidR="00885BE6" w:rsidRPr="00DE3DAA">
        <w:rPr>
          <w:rFonts w:ascii="Times New Roman" w:hAnsi="Times New Roman" w:cs="Times New Roman"/>
          <w:sz w:val="26"/>
          <w:szCs w:val="26"/>
        </w:rPr>
        <w:t xml:space="preserve"> that it had been</w:t>
      </w:r>
      <w:r w:rsidR="00937D3A" w:rsidRPr="00DE3DAA">
        <w:rPr>
          <w:rFonts w:ascii="Times New Roman" w:hAnsi="Times New Roman" w:cs="Times New Roman"/>
          <w:sz w:val="26"/>
          <w:szCs w:val="26"/>
        </w:rPr>
        <w:t xml:space="preserve"> introduced without or ahead of requirements to legislate imposed by or under EC law</w:t>
      </w:r>
      <w:r w:rsidR="00C93A2B" w:rsidRPr="00DE3DAA">
        <w:rPr>
          <w:rFonts w:ascii="Times New Roman" w:hAnsi="Times New Roman" w:cs="Times New Roman"/>
          <w:sz w:val="26"/>
          <w:szCs w:val="26"/>
        </w:rPr>
        <w:t>,</w:t>
      </w:r>
      <w:r w:rsidR="00590358" w:rsidRPr="00DE3DAA">
        <w:rPr>
          <w:rStyle w:val="ae"/>
          <w:rFonts w:ascii="Times New Roman" w:hAnsi="Times New Roman" w:cs="Times New Roman"/>
          <w:sz w:val="26"/>
          <w:szCs w:val="26"/>
        </w:rPr>
        <w:footnoteReference w:id="315"/>
      </w:r>
      <w:r w:rsidR="00C93A2B" w:rsidRPr="00DE3DAA">
        <w:rPr>
          <w:rFonts w:ascii="Times New Roman" w:hAnsi="Times New Roman" w:cs="Times New Roman"/>
          <w:sz w:val="26"/>
          <w:szCs w:val="26"/>
        </w:rPr>
        <w:t xml:space="preserve"> the governmental resistance to th</w:t>
      </w:r>
      <w:r w:rsidR="00E04637" w:rsidRPr="00DE3DAA">
        <w:rPr>
          <w:rFonts w:ascii="Times New Roman" w:hAnsi="Times New Roman" w:cs="Times New Roman"/>
          <w:sz w:val="26"/>
          <w:szCs w:val="26"/>
        </w:rPr>
        <w:t xml:space="preserve">e strong </w:t>
      </w:r>
      <w:r w:rsidR="00C93A2B" w:rsidRPr="00DE3DAA">
        <w:rPr>
          <w:rFonts w:ascii="Times New Roman" w:hAnsi="Times New Roman" w:cs="Times New Roman"/>
          <w:sz w:val="26"/>
          <w:szCs w:val="26"/>
        </w:rPr>
        <w:t xml:space="preserve">domestic political pressure </w:t>
      </w:r>
      <w:r w:rsidR="002F47E6" w:rsidRPr="00DE3DAA">
        <w:rPr>
          <w:rFonts w:ascii="Times New Roman" w:hAnsi="Times New Roman" w:cs="Times New Roman"/>
          <w:sz w:val="26"/>
          <w:szCs w:val="26"/>
        </w:rPr>
        <w:t xml:space="preserve">during this period </w:t>
      </w:r>
      <w:r w:rsidR="00C93A2B" w:rsidRPr="00DE3DAA">
        <w:rPr>
          <w:rFonts w:ascii="Times New Roman" w:hAnsi="Times New Roman" w:cs="Times New Roman"/>
          <w:sz w:val="26"/>
          <w:szCs w:val="26"/>
        </w:rPr>
        <w:t xml:space="preserve">managed to </w:t>
      </w:r>
      <w:r w:rsidR="002F47E6" w:rsidRPr="00DE3DAA">
        <w:rPr>
          <w:rFonts w:ascii="Times New Roman" w:hAnsi="Times New Roman" w:cs="Times New Roman"/>
          <w:sz w:val="26"/>
          <w:szCs w:val="26"/>
        </w:rPr>
        <w:t>provide</w:t>
      </w:r>
      <w:r w:rsidR="00C93A2B" w:rsidRPr="00DE3DAA">
        <w:rPr>
          <w:rFonts w:ascii="Times New Roman" w:hAnsi="Times New Roman" w:cs="Times New Roman"/>
          <w:sz w:val="26"/>
          <w:szCs w:val="26"/>
        </w:rPr>
        <w:t xml:space="preserve"> a narrower approach to the definition of disability discrimination</w:t>
      </w:r>
      <w:r w:rsidR="002F47E6" w:rsidRPr="00DE3DAA">
        <w:rPr>
          <w:rFonts w:ascii="Times New Roman" w:hAnsi="Times New Roman" w:cs="Times New Roman"/>
          <w:sz w:val="26"/>
          <w:szCs w:val="26"/>
        </w:rPr>
        <w:t xml:space="preserve"> than had been </w:t>
      </w:r>
      <w:r w:rsidR="00E20DDD" w:rsidRPr="00DE3DAA">
        <w:rPr>
          <w:rFonts w:ascii="Times New Roman" w:hAnsi="Times New Roman" w:cs="Times New Roman"/>
          <w:sz w:val="26"/>
          <w:szCs w:val="26"/>
        </w:rPr>
        <w:t>pursued</w:t>
      </w:r>
      <w:r w:rsidR="002F47E6" w:rsidRPr="00DE3DAA">
        <w:rPr>
          <w:rFonts w:ascii="Times New Roman" w:hAnsi="Times New Roman" w:cs="Times New Roman"/>
          <w:sz w:val="26"/>
          <w:szCs w:val="26"/>
        </w:rPr>
        <w:t xml:space="preserve"> by the activists, one which confined the concept to the more restrictive medical construction of disability rather than the more broadly based social construction of that concept.</w:t>
      </w:r>
      <w:r w:rsidR="00590358" w:rsidRPr="00DE3DAA">
        <w:rPr>
          <w:rStyle w:val="ae"/>
          <w:rFonts w:ascii="Times New Roman" w:hAnsi="Times New Roman" w:cs="Times New Roman"/>
          <w:sz w:val="26"/>
          <w:szCs w:val="26"/>
        </w:rPr>
        <w:footnoteReference w:id="316"/>
      </w:r>
      <w:r w:rsidR="002F47E6" w:rsidRPr="00DE3DAA">
        <w:rPr>
          <w:rFonts w:ascii="Times New Roman" w:hAnsi="Times New Roman" w:cs="Times New Roman"/>
          <w:sz w:val="26"/>
          <w:szCs w:val="26"/>
        </w:rPr>
        <w:t xml:space="preserve"> </w:t>
      </w:r>
      <w:r w:rsidR="00FA596B" w:rsidRPr="00DE3DAA">
        <w:rPr>
          <w:rFonts w:ascii="Times New Roman" w:hAnsi="Times New Roman" w:cs="Times New Roman"/>
          <w:sz w:val="26"/>
          <w:szCs w:val="26"/>
        </w:rPr>
        <w:t xml:space="preserve">The more </w:t>
      </w:r>
      <w:r w:rsidR="00B12853" w:rsidRPr="00DE3DAA">
        <w:rPr>
          <w:rFonts w:ascii="Times New Roman" w:hAnsi="Times New Roman" w:cs="Times New Roman"/>
          <w:sz w:val="26"/>
          <w:szCs w:val="26"/>
        </w:rPr>
        <w:t>crucial matter is that the employment provisions of the Act were not to apply to those working in the police force, the prison service, or in the military or fire-fighting services,</w:t>
      </w:r>
      <w:r w:rsidR="00590358" w:rsidRPr="00DE3DAA">
        <w:rPr>
          <w:rStyle w:val="ae"/>
          <w:rFonts w:ascii="Times New Roman" w:hAnsi="Times New Roman" w:cs="Times New Roman"/>
          <w:sz w:val="26"/>
          <w:szCs w:val="26"/>
        </w:rPr>
        <w:footnoteReference w:id="317"/>
      </w:r>
      <w:r w:rsidR="00B12853" w:rsidRPr="00DE3DAA">
        <w:rPr>
          <w:rFonts w:ascii="Times New Roman" w:hAnsi="Times New Roman" w:cs="Times New Roman"/>
          <w:sz w:val="26"/>
          <w:szCs w:val="26"/>
        </w:rPr>
        <w:t xml:space="preserve"> or those working for small businesses employing fewer than twenty employees.</w:t>
      </w:r>
      <w:r w:rsidR="00590358" w:rsidRPr="00DE3DAA">
        <w:rPr>
          <w:rStyle w:val="ae"/>
          <w:rFonts w:ascii="Times New Roman" w:hAnsi="Times New Roman" w:cs="Times New Roman"/>
          <w:sz w:val="26"/>
          <w:szCs w:val="26"/>
        </w:rPr>
        <w:footnoteReference w:id="318"/>
      </w:r>
      <w:r w:rsidR="00916E13" w:rsidRPr="00DE3DAA">
        <w:rPr>
          <w:rFonts w:ascii="Times New Roman" w:hAnsi="Times New Roman" w:cs="Times New Roman"/>
          <w:sz w:val="26"/>
          <w:szCs w:val="26"/>
        </w:rPr>
        <w:t xml:space="preserve"> This latter exclusion </w:t>
      </w:r>
      <w:r w:rsidR="00202EC3" w:rsidRPr="00DE3DAA">
        <w:rPr>
          <w:rFonts w:ascii="Times New Roman" w:hAnsi="Times New Roman" w:cs="Times New Roman"/>
          <w:sz w:val="26"/>
          <w:szCs w:val="26"/>
        </w:rPr>
        <w:t xml:space="preserve">which was </w:t>
      </w:r>
      <w:r w:rsidR="00916E13" w:rsidRPr="00DE3DAA">
        <w:rPr>
          <w:rFonts w:ascii="Times New Roman" w:hAnsi="Times New Roman" w:cs="Times New Roman"/>
          <w:sz w:val="26"/>
          <w:szCs w:val="26"/>
        </w:rPr>
        <w:t xml:space="preserve">highly controversial at the time was justified by spokesmen for the government partly by the general rhetoric of minimizing burdens upon businesses, especially small ones, </w:t>
      </w:r>
      <w:r w:rsidR="00857CBA" w:rsidRPr="00DE3DAA">
        <w:rPr>
          <w:rFonts w:ascii="Times New Roman" w:hAnsi="Times New Roman" w:cs="Times New Roman"/>
          <w:sz w:val="26"/>
          <w:szCs w:val="26"/>
        </w:rPr>
        <w:t>and partly by drawing a spurious analogy with the corresponding exemption from the quota system for disabled workers which had been instituted by the Disabled Persons (Employment) Act 1944.</w:t>
      </w:r>
      <w:r w:rsidR="00590358" w:rsidRPr="00DE3DAA">
        <w:rPr>
          <w:rStyle w:val="ae"/>
          <w:rFonts w:ascii="Times New Roman" w:hAnsi="Times New Roman" w:cs="Times New Roman"/>
          <w:sz w:val="26"/>
          <w:szCs w:val="26"/>
        </w:rPr>
        <w:footnoteReference w:id="319"/>
      </w:r>
      <w:r w:rsidR="00C339B1" w:rsidRPr="00DE3DAA">
        <w:rPr>
          <w:rFonts w:ascii="Times New Roman" w:hAnsi="Times New Roman" w:cs="Times New Roman"/>
          <w:sz w:val="26"/>
          <w:szCs w:val="26"/>
        </w:rPr>
        <w:t xml:space="preserve"> A further criticism </w:t>
      </w:r>
      <w:r w:rsidR="00DC6EC2" w:rsidRPr="00DE3DAA">
        <w:rPr>
          <w:rFonts w:ascii="Times New Roman" w:hAnsi="Times New Roman" w:cs="Times New Roman"/>
          <w:sz w:val="26"/>
          <w:szCs w:val="26"/>
        </w:rPr>
        <w:t xml:space="preserve">was identified to have pointed to the failure of the 1995 Act fully to give effect to the then recently adopted UN Standard Rules on </w:t>
      </w:r>
      <w:proofErr w:type="spellStart"/>
      <w:r w:rsidR="00DC6EC2" w:rsidRPr="00DE3DAA">
        <w:rPr>
          <w:rFonts w:ascii="Times New Roman" w:hAnsi="Times New Roman" w:cs="Times New Roman"/>
          <w:sz w:val="26"/>
          <w:szCs w:val="26"/>
        </w:rPr>
        <w:t>Equalisation</w:t>
      </w:r>
      <w:proofErr w:type="spellEnd"/>
      <w:r w:rsidR="00DC6EC2" w:rsidRPr="00DE3DAA">
        <w:rPr>
          <w:rFonts w:ascii="Times New Roman" w:hAnsi="Times New Roman" w:cs="Times New Roman"/>
          <w:sz w:val="26"/>
          <w:szCs w:val="26"/>
        </w:rPr>
        <w:t xml:space="preserve"> of Opportunities for Persons with Disabilities.</w:t>
      </w:r>
      <w:r w:rsidR="00590358" w:rsidRPr="00DE3DAA">
        <w:rPr>
          <w:rStyle w:val="ae"/>
          <w:rFonts w:ascii="Times New Roman" w:hAnsi="Times New Roman" w:cs="Times New Roman"/>
          <w:sz w:val="26"/>
          <w:szCs w:val="26"/>
        </w:rPr>
        <w:footnoteReference w:id="320"/>
      </w:r>
      <w:r w:rsidR="00520447" w:rsidRPr="00DE3DAA">
        <w:rPr>
          <w:rFonts w:ascii="Times New Roman" w:hAnsi="Times New Roman" w:cs="Times New Roman"/>
          <w:sz w:val="26"/>
          <w:szCs w:val="26"/>
        </w:rPr>
        <w:t xml:space="preserve"> Even though that UN Rules can be regarded as too aspirational a standard of evaluation in the present context,</w:t>
      </w:r>
      <w:r w:rsidR="00732C8B" w:rsidRPr="00DE3DAA">
        <w:rPr>
          <w:rFonts w:ascii="Times New Roman" w:hAnsi="Times New Roman" w:cs="Times New Roman"/>
          <w:sz w:val="26"/>
          <w:szCs w:val="26"/>
        </w:rPr>
        <w:t xml:space="preserve"> it could be still agreed that there</w:t>
      </w:r>
      <w:r w:rsidR="00520447" w:rsidRPr="00DE3DAA">
        <w:rPr>
          <w:rFonts w:ascii="Times New Roman" w:hAnsi="Times New Roman" w:cs="Times New Roman"/>
          <w:sz w:val="26"/>
          <w:szCs w:val="26"/>
        </w:rPr>
        <w:t xml:space="preserve"> </w:t>
      </w:r>
      <w:r w:rsidR="00520447" w:rsidRPr="00DE3DAA">
        <w:rPr>
          <w:rFonts w:ascii="Times New Roman" w:hAnsi="Times New Roman" w:cs="Times New Roman"/>
          <w:sz w:val="26"/>
          <w:szCs w:val="26"/>
        </w:rPr>
        <w:lastRenderedPageBreak/>
        <w:t>was considerable evidence of foot-dragging on the part of the government in the course of this episode in the development of human and equality rights in the workplace.</w:t>
      </w:r>
      <w:r w:rsidR="00590358" w:rsidRPr="00DE3DAA">
        <w:rPr>
          <w:rStyle w:val="ae"/>
          <w:rFonts w:ascii="Times New Roman" w:hAnsi="Times New Roman" w:cs="Times New Roman"/>
          <w:sz w:val="26"/>
          <w:szCs w:val="26"/>
        </w:rPr>
        <w:footnoteReference w:id="321"/>
      </w:r>
      <w:r w:rsidR="00D516CF" w:rsidRPr="00DE3DAA">
        <w:rPr>
          <w:rFonts w:ascii="Times New Roman" w:hAnsi="Times New Roman" w:cs="Times New Roman"/>
          <w:sz w:val="26"/>
          <w:szCs w:val="26"/>
        </w:rPr>
        <w:t xml:space="preserve"> </w:t>
      </w:r>
      <w:r w:rsidR="006D554A" w:rsidRPr="00DE3DAA">
        <w:rPr>
          <w:rFonts w:ascii="Times New Roman" w:hAnsi="Times New Roman" w:cs="Times New Roman"/>
          <w:sz w:val="26"/>
          <w:szCs w:val="26"/>
        </w:rPr>
        <w:t>In addition, it can be generally stated that the position of government during the Major administration was a defensive and reactive rather than a protective with regard to the employment legislation to non-standard employment.</w:t>
      </w:r>
      <w:r w:rsidR="00590358" w:rsidRPr="00DE3DAA">
        <w:rPr>
          <w:rStyle w:val="ae"/>
          <w:rFonts w:ascii="Times New Roman" w:hAnsi="Times New Roman" w:cs="Times New Roman"/>
          <w:sz w:val="26"/>
          <w:szCs w:val="26"/>
        </w:rPr>
        <w:footnoteReference w:id="322"/>
      </w:r>
      <w:r w:rsidR="00FB055B" w:rsidRPr="00DE3DAA">
        <w:rPr>
          <w:rFonts w:ascii="Times New Roman" w:hAnsi="Times New Roman" w:cs="Times New Roman"/>
          <w:sz w:val="26"/>
          <w:szCs w:val="26"/>
        </w:rPr>
        <w:t xml:space="preserve"> This approach was </w:t>
      </w:r>
      <w:r w:rsidR="004D1782" w:rsidRPr="00DE3DAA">
        <w:rPr>
          <w:rFonts w:ascii="Times New Roman" w:hAnsi="Times New Roman" w:cs="Times New Roman"/>
          <w:sz w:val="26"/>
          <w:szCs w:val="26"/>
        </w:rPr>
        <w:t>shown</w:t>
      </w:r>
      <w:r w:rsidR="00FB055B" w:rsidRPr="00DE3DAA">
        <w:rPr>
          <w:rFonts w:ascii="Times New Roman" w:hAnsi="Times New Roman" w:cs="Times New Roman"/>
          <w:sz w:val="26"/>
          <w:szCs w:val="26"/>
        </w:rPr>
        <w:t xml:space="preserve"> through the </w:t>
      </w:r>
      <w:r w:rsidR="00576FBE" w:rsidRPr="00DE3DAA">
        <w:rPr>
          <w:rFonts w:ascii="Times New Roman" w:hAnsi="Times New Roman" w:cs="Times New Roman"/>
          <w:sz w:val="26"/>
          <w:szCs w:val="26"/>
        </w:rPr>
        <w:t>enactment in 1995 of regulations</w:t>
      </w:r>
      <w:r w:rsidR="00590358" w:rsidRPr="00DE3DAA">
        <w:rPr>
          <w:rStyle w:val="ae"/>
          <w:rFonts w:ascii="Times New Roman" w:hAnsi="Times New Roman" w:cs="Times New Roman"/>
          <w:sz w:val="26"/>
          <w:szCs w:val="26"/>
        </w:rPr>
        <w:footnoteReference w:id="323"/>
      </w:r>
      <w:r w:rsidR="00576FBE" w:rsidRPr="00DE3DAA">
        <w:rPr>
          <w:rFonts w:ascii="Times New Roman" w:hAnsi="Times New Roman" w:cs="Times New Roman"/>
          <w:sz w:val="26"/>
          <w:szCs w:val="26"/>
        </w:rPr>
        <w:t xml:space="preserve"> to abolish the total or partial exclusions of part-time workers from a wide range of statutory employment rights, which was a </w:t>
      </w:r>
      <w:r w:rsidR="00FB055B" w:rsidRPr="00DE3DAA">
        <w:rPr>
          <w:rFonts w:ascii="Times New Roman" w:hAnsi="Times New Roman" w:cs="Times New Roman"/>
          <w:sz w:val="26"/>
          <w:szCs w:val="26"/>
        </w:rPr>
        <w:t>single episode of legislative adaptation to non-standard employment which took place during that administration</w:t>
      </w:r>
      <w:r w:rsidR="00576FBE" w:rsidRPr="00DE3DAA">
        <w:rPr>
          <w:rFonts w:ascii="Times New Roman" w:hAnsi="Times New Roman" w:cs="Times New Roman"/>
          <w:sz w:val="26"/>
          <w:szCs w:val="26"/>
        </w:rPr>
        <w:t>.</w:t>
      </w:r>
      <w:r w:rsidR="00590358" w:rsidRPr="00DE3DAA">
        <w:rPr>
          <w:rStyle w:val="ae"/>
          <w:rFonts w:ascii="Times New Roman" w:hAnsi="Times New Roman" w:cs="Times New Roman"/>
          <w:sz w:val="26"/>
          <w:szCs w:val="26"/>
        </w:rPr>
        <w:footnoteReference w:id="324"/>
      </w:r>
      <w:r w:rsidR="00FB055B" w:rsidRPr="00DE3DAA">
        <w:rPr>
          <w:rFonts w:ascii="Times New Roman" w:hAnsi="Times New Roman" w:cs="Times New Roman"/>
          <w:sz w:val="26"/>
          <w:szCs w:val="26"/>
        </w:rPr>
        <w:t xml:space="preserve"> </w:t>
      </w:r>
      <w:r w:rsidR="00851080" w:rsidRPr="00DE3DAA">
        <w:rPr>
          <w:rFonts w:ascii="Times New Roman" w:hAnsi="Times New Roman" w:cs="Times New Roman"/>
          <w:sz w:val="26"/>
          <w:szCs w:val="26"/>
        </w:rPr>
        <w:t xml:space="preserve"> Specifically, man</w:t>
      </w:r>
      <w:r w:rsidR="00323118" w:rsidRPr="00DE3DAA">
        <w:rPr>
          <w:rFonts w:ascii="Times New Roman" w:hAnsi="Times New Roman" w:cs="Times New Roman"/>
          <w:sz w:val="26"/>
          <w:szCs w:val="26"/>
        </w:rPr>
        <w:t>y of the central statutory rights of employees, such as those relating to redundancy payments and to unfair dismissal,</w:t>
      </w:r>
      <w:r w:rsidR="00D97F56" w:rsidRPr="00DE3DAA">
        <w:rPr>
          <w:rFonts w:ascii="Times New Roman" w:hAnsi="Times New Roman" w:cs="Times New Roman"/>
          <w:sz w:val="26"/>
          <w:szCs w:val="26"/>
        </w:rPr>
        <w:t xml:space="preserve"> </w:t>
      </w:r>
      <w:r w:rsidR="00323118" w:rsidRPr="00DE3DAA">
        <w:rPr>
          <w:rFonts w:ascii="Times New Roman" w:hAnsi="Times New Roman" w:cs="Times New Roman"/>
          <w:sz w:val="26"/>
          <w:szCs w:val="26"/>
        </w:rPr>
        <w:t>had been subject to a total exclusion of those working for less than 8 hours</w:t>
      </w:r>
      <w:r w:rsidR="00D97F56" w:rsidRPr="00DE3DAA">
        <w:rPr>
          <w:rFonts w:ascii="Times New Roman" w:hAnsi="Times New Roman" w:cs="Times New Roman"/>
          <w:sz w:val="26"/>
          <w:szCs w:val="26"/>
        </w:rPr>
        <w:t xml:space="preserve"> per week, and to a partial exclusion of those working for between 8 and 16 hours per week whereby their qualifying period for continuous contractual employment was fi</w:t>
      </w:r>
      <w:r w:rsidR="007F003D" w:rsidRPr="00DE3DAA">
        <w:rPr>
          <w:rFonts w:ascii="Times New Roman" w:hAnsi="Times New Roman" w:cs="Times New Roman"/>
          <w:sz w:val="26"/>
          <w:szCs w:val="26"/>
        </w:rPr>
        <w:t>v</w:t>
      </w:r>
      <w:r w:rsidR="00D97F56" w:rsidRPr="00DE3DAA">
        <w:rPr>
          <w:rFonts w:ascii="Times New Roman" w:hAnsi="Times New Roman" w:cs="Times New Roman"/>
          <w:sz w:val="26"/>
          <w:szCs w:val="26"/>
        </w:rPr>
        <w:t>e years, whereas the qualifying period for those working for 16 hours</w:t>
      </w:r>
      <w:r w:rsidR="007F003D" w:rsidRPr="00DE3DAA">
        <w:rPr>
          <w:rFonts w:ascii="Times New Roman" w:hAnsi="Times New Roman" w:cs="Times New Roman"/>
          <w:sz w:val="26"/>
          <w:szCs w:val="26"/>
        </w:rPr>
        <w:t xml:space="preserve"> or more per week was at that time two years.</w:t>
      </w:r>
      <w:r w:rsidR="00590358" w:rsidRPr="00DE3DAA">
        <w:rPr>
          <w:rStyle w:val="ae"/>
          <w:rFonts w:ascii="Times New Roman" w:hAnsi="Times New Roman" w:cs="Times New Roman"/>
          <w:sz w:val="26"/>
          <w:szCs w:val="26"/>
        </w:rPr>
        <w:footnoteReference w:id="325"/>
      </w:r>
      <w:r w:rsidR="007F003D" w:rsidRPr="00DE3DAA">
        <w:rPr>
          <w:rFonts w:ascii="Times New Roman" w:hAnsi="Times New Roman" w:cs="Times New Roman"/>
          <w:sz w:val="26"/>
          <w:szCs w:val="26"/>
        </w:rPr>
        <w:t xml:space="preserve"> The government having been unwilling to respond to the demands for abolition of these differentiations between part-time and full-time work as being discriminatory against women- demands made because women constituted an overwhelming majority of the part-time work force- the Equal Opportunities Commission challenged this regime in litigation, alleging that it involved violation of Article 119 (now Article 141) of the EC Treaty or the Equal Treatment Directive.</w:t>
      </w:r>
      <w:r w:rsidR="00590358" w:rsidRPr="00DE3DAA">
        <w:rPr>
          <w:rStyle w:val="ae"/>
          <w:rFonts w:ascii="Times New Roman" w:hAnsi="Times New Roman" w:cs="Times New Roman"/>
          <w:sz w:val="26"/>
          <w:szCs w:val="26"/>
        </w:rPr>
        <w:footnoteReference w:id="326"/>
      </w:r>
      <w:r w:rsidR="004219BB" w:rsidRPr="00DE3DAA">
        <w:rPr>
          <w:rFonts w:ascii="Times New Roman" w:hAnsi="Times New Roman" w:cs="Times New Roman"/>
          <w:sz w:val="26"/>
          <w:szCs w:val="26"/>
        </w:rPr>
        <w:t xml:space="preserve"> </w:t>
      </w:r>
      <w:r w:rsidR="00EE0F34" w:rsidRPr="00DE3DAA">
        <w:rPr>
          <w:rFonts w:ascii="Times New Roman" w:hAnsi="Times New Roman" w:cs="Times New Roman"/>
          <w:sz w:val="26"/>
          <w:szCs w:val="26"/>
        </w:rPr>
        <w:t xml:space="preserve">The initial reaction of the government </w:t>
      </w:r>
      <w:r w:rsidR="00FD6BCB" w:rsidRPr="00DE3DAA">
        <w:rPr>
          <w:rFonts w:ascii="Times New Roman" w:hAnsi="Times New Roman" w:cs="Times New Roman"/>
          <w:sz w:val="26"/>
          <w:szCs w:val="26"/>
        </w:rPr>
        <w:t>when</w:t>
      </w:r>
      <w:r w:rsidR="00EE0F34" w:rsidRPr="00DE3DAA">
        <w:rPr>
          <w:rFonts w:ascii="Times New Roman" w:hAnsi="Times New Roman" w:cs="Times New Roman"/>
          <w:sz w:val="26"/>
          <w:szCs w:val="26"/>
        </w:rPr>
        <w:t xml:space="preserve"> the challenge was upheld in the House of Lords was nevertheless to refuse</w:t>
      </w:r>
      <w:r w:rsidR="004219BB" w:rsidRPr="00DE3DAA">
        <w:rPr>
          <w:rFonts w:ascii="Times New Roman" w:hAnsi="Times New Roman" w:cs="Times New Roman"/>
          <w:sz w:val="26"/>
          <w:szCs w:val="26"/>
        </w:rPr>
        <w:t xml:space="preserve">, or at least to postpone, alteration of </w:t>
      </w:r>
      <w:r w:rsidR="004219BB" w:rsidRPr="00DE3DAA">
        <w:rPr>
          <w:rFonts w:ascii="Times New Roman" w:hAnsi="Times New Roman" w:cs="Times New Roman"/>
          <w:sz w:val="26"/>
          <w:szCs w:val="26"/>
        </w:rPr>
        <w:lastRenderedPageBreak/>
        <w:t>the legislation</w:t>
      </w:r>
      <w:r w:rsidR="00FD6BCB" w:rsidRPr="00DE3DAA">
        <w:rPr>
          <w:rFonts w:ascii="Times New Roman" w:hAnsi="Times New Roman" w:cs="Times New Roman"/>
          <w:sz w:val="26"/>
          <w:szCs w:val="26"/>
        </w:rPr>
        <w:t>.</w:t>
      </w:r>
      <w:r w:rsidR="00590358" w:rsidRPr="00DE3DAA">
        <w:rPr>
          <w:rStyle w:val="ae"/>
          <w:rFonts w:ascii="Times New Roman" w:hAnsi="Times New Roman" w:cs="Times New Roman"/>
          <w:sz w:val="26"/>
          <w:szCs w:val="26"/>
        </w:rPr>
        <w:footnoteReference w:id="327"/>
      </w:r>
      <w:r w:rsidR="00FD6BCB" w:rsidRPr="00DE3DAA">
        <w:rPr>
          <w:rFonts w:ascii="Times New Roman" w:hAnsi="Times New Roman" w:cs="Times New Roman"/>
          <w:sz w:val="26"/>
          <w:szCs w:val="26"/>
        </w:rPr>
        <w:t xml:space="preserve"> Even if the government eventually decided to bring forward legislation, the measure having </w:t>
      </w:r>
      <w:r w:rsidR="00EE0F34" w:rsidRPr="00DE3DAA">
        <w:rPr>
          <w:rFonts w:ascii="Times New Roman" w:hAnsi="Times New Roman" w:cs="Times New Roman"/>
          <w:sz w:val="26"/>
          <w:szCs w:val="26"/>
        </w:rPr>
        <w:t xml:space="preserve">taken further improvement than had been immediately necessitated by the judgement in the EOC case, </w:t>
      </w:r>
      <w:r w:rsidR="00F93202" w:rsidRPr="00DE3DAA">
        <w:rPr>
          <w:rFonts w:ascii="Times New Roman" w:hAnsi="Times New Roman" w:cs="Times New Roman"/>
          <w:sz w:val="26"/>
          <w:szCs w:val="26"/>
        </w:rPr>
        <w:t>it can be probably said that the government tried to concentrate their energy on their continuing and successful resistance to the enactment of further EU legislation about the equalization of the situation of part-time workers with that of full-time workers</w:t>
      </w:r>
      <w:r w:rsidR="00B03721" w:rsidRPr="00DE3DAA">
        <w:rPr>
          <w:rFonts w:ascii="Times New Roman" w:hAnsi="Times New Roman" w:cs="Times New Roman"/>
          <w:sz w:val="26"/>
          <w:szCs w:val="26"/>
        </w:rPr>
        <w:t>, rather than promoting to go beyond the requirements of EU law in a worker-protective direction.</w:t>
      </w:r>
      <w:r w:rsidR="00590358" w:rsidRPr="00DE3DAA">
        <w:rPr>
          <w:rStyle w:val="ae"/>
          <w:rFonts w:ascii="Times New Roman" w:hAnsi="Times New Roman" w:cs="Times New Roman"/>
          <w:sz w:val="26"/>
          <w:szCs w:val="26"/>
        </w:rPr>
        <w:footnoteReference w:id="328"/>
      </w:r>
      <w:r w:rsidR="00B03721" w:rsidRPr="00DE3DAA">
        <w:rPr>
          <w:rFonts w:ascii="Times New Roman" w:hAnsi="Times New Roman" w:cs="Times New Roman"/>
          <w:sz w:val="26"/>
          <w:szCs w:val="26"/>
        </w:rPr>
        <w:t xml:space="preserve"> As a reaction to th</w:t>
      </w:r>
      <w:r w:rsidR="00D47693" w:rsidRPr="00DE3DAA">
        <w:rPr>
          <w:rFonts w:ascii="Times New Roman" w:hAnsi="Times New Roman" w:cs="Times New Roman"/>
          <w:sz w:val="26"/>
          <w:szCs w:val="26"/>
        </w:rPr>
        <w:t>e decision,</w:t>
      </w:r>
      <w:r w:rsidR="00B03721" w:rsidRPr="00DE3DAA">
        <w:rPr>
          <w:rFonts w:ascii="Times New Roman" w:hAnsi="Times New Roman" w:cs="Times New Roman"/>
          <w:sz w:val="26"/>
          <w:szCs w:val="26"/>
        </w:rPr>
        <w:t xml:space="preserve"> the government </w:t>
      </w:r>
      <w:r w:rsidR="00D47693" w:rsidRPr="00DE3DAA">
        <w:rPr>
          <w:rFonts w:ascii="Times New Roman" w:hAnsi="Times New Roman" w:cs="Times New Roman"/>
          <w:sz w:val="26"/>
          <w:szCs w:val="26"/>
        </w:rPr>
        <w:t xml:space="preserve">eventually </w:t>
      </w:r>
      <w:r w:rsidR="00B03721" w:rsidRPr="00DE3DAA">
        <w:rPr>
          <w:rFonts w:ascii="Times New Roman" w:hAnsi="Times New Roman" w:cs="Times New Roman"/>
          <w:sz w:val="26"/>
          <w:szCs w:val="26"/>
        </w:rPr>
        <w:t xml:space="preserve">abolished both the total exclusion of under-8-hour employees and the partial exclusion of 8-16-hour employees, </w:t>
      </w:r>
      <w:r w:rsidR="00D47693" w:rsidRPr="00DE3DAA">
        <w:rPr>
          <w:rFonts w:ascii="Times New Roman" w:hAnsi="Times New Roman" w:cs="Times New Roman"/>
          <w:sz w:val="26"/>
          <w:szCs w:val="26"/>
        </w:rPr>
        <w:t>even though</w:t>
      </w:r>
      <w:r w:rsidR="00B03721" w:rsidRPr="00DE3DAA">
        <w:rPr>
          <w:rFonts w:ascii="Times New Roman" w:hAnsi="Times New Roman" w:cs="Times New Roman"/>
          <w:sz w:val="26"/>
          <w:szCs w:val="26"/>
        </w:rPr>
        <w:t xml:space="preserve"> it was only the latter partial exclusion which had been the subject of the challenge and the decision of the court.</w:t>
      </w:r>
      <w:r w:rsidR="00590358" w:rsidRPr="00DE3DAA">
        <w:rPr>
          <w:rStyle w:val="ae"/>
          <w:rFonts w:ascii="Times New Roman" w:hAnsi="Times New Roman" w:cs="Times New Roman"/>
          <w:sz w:val="26"/>
          <w:szCs w:val="26"/>
        </w:rPr>
        <w:footnoteReference w:id="329"/>
      </w:r>
    </w:p>
    <w:p w14:paraId="5D022D82" w14:textId="2C8EBBD8" w:rsidR="002632AB" w:rsidRPr="00DE3DAA" w:rsidRDefault="00B27B5C" w:rsidP="00F04349">
      <w:pPr>
        <w:pStyle w:val="a3"/>
        <w:ind w:leftChars="0" w:left="1520"/>
        <w:rPr>
          <w:rFonts w:ascii="Times New Roman" w:eastAsia="바탕" w:hAnsi="Times New Roman" w:cs="Times New Roman"/>
          <w:sz w:val="26"/>
          <w:szCs w:val="26"/>
        </w:rPr>
      </w:pPr>
      <w:r w:rsidRPr="00DE3DAA">
        <w:rPr>
          <w:rFonts w:ascii="Times New Roman" w:hAnsi="Times New Roman" w:cs="Times New Roman"/>
          <w:sz w:val="26"/>
          <w:szCs w:val="26"/>
        </w:rPr>
        <w:t xml:space="preserve">As </w:t>
      </w:r>
      <w:r w:rsidR="00A658EA" w:rsidRPr="00DE3DAA">
        <w:rPr>
          <w:rFonts w:ascii="Times New Roman" w:hAnsi="Times New Roman" w:cs="Times New Roman"/>
          <w:sz w:val="26"/>
          <w:szCs w:val="26"/>
        </w:rPr>
        <w:t xml:space="preserve">mentioned above, </w:t>
      </w:r>
      <w:r w:rsidR="006C49C9" w:rsidRPr="00DE3DAA">
        <w:rPr>
          <w:rFonts w:ascii="Times New Roman" w:hAnsi="Times New Roman" w:cs="Times New Roman"/>
          <w:sz w:val="26"/>
          <w:szCs w:val="26"/>
        </w:rPr>
        <w:t>the Major administration sought to secure managerial adaptability in those areas or aspects of legislative activity, in the sphere of personal work relations by the essentially negative means of total or partial resistance to various pressures</w:t>
      </w:r>
      <w:r w:rsidRPr="00DE3DAA">
        <w:rPr>
          <w:rFonts w:ascii="Times New Roman" w:hAnsi="Times New Roman" w:cs="Times New Roman"/>
          <w:sz w:val="26"/>
          <w:szCs w:val="26"/>
        </w:rPr>
        <w:t xml:space="preserve"> including both </w:t>
      </w:r>
      <w:r w:rsidR="006C49C9" w:rsidRPr="00DE3DAA">
        <w:rPr>
          <w:rFonts w:ascii="Times New Roman" w:hAnsi="Times New Roman" w:cs="Times New Roman"/>
          <w:sz w:val="26"/>
          <w:szCs w:val="26"/>
        </w:rPr>
        <w:t>external-European and domestic</w:t>
      </w:r>
      <w:r w:rsidR="00373775" w:rsidRPr="00DE3DAA">
        <w:rPr>
          <w:rFonts w:ascii="Times New Roman" w:hAnsi="Times New Roman" w:cs="Times New Roman"/>
          <w:sz w:val="26"/>
          <w:szCs w:val="26"/>
        </w:rPr>
        <w:t xml:space="preserve"> ones</w:t>
      </w:r>
      <w:r w:rsidR="006C49C9" w:rsidRPr="00DE3DAA">
        <w:rPr>
          <w:rFonts w:ascii="Times New Roman" w:hAnsi="Times New Roman" w:cs="Times New Roman"/>
          <w:sz w:val="26"/>
          <w:szCs w:val="26"/>
        </w:rPr>
        <w:t xml:space="preserve"> for the enhancement of the rights and protections of workers.</w:t>
      </w:r>
      <w:r w:rsidR="00AF3B37" w:rsidRPr="00DE3DAA">
        <w:rPr>
          <w:rFonts w:ascii="Times New Roman" w:hAnsi="Times New Roman" w:cs="Times New Roman"/>
          <w:sz w:val="26"/>
          <w:szCs w:val="26"/>
        </w:rPr>
        <w:t xml:space="preserve"> </w:t>
      </w:r>
      <w:r w:rsidR="00D57172" w:rsidRPr="00DE3DAA">
        <w:rPr>
          <w:rFonts w:ascii="Times New Roman" w:hAnsi="Times New Roman" w:cs="Times New Roman"/>
          <w:sz w:val="26"/>
          <w:szCs w:val="26"/>
        </w:rPr>
        <w:t>But it can be said that the Major administration was engaged in a more positive construction of managerial adaptability. The major part of this positive construction process can be sad that of public service reform.</w:t>
      </w:r>
      <w:r w:rsidR="00590358" w:rsidRPr="00DE3DAA">
        <w:rPr>
          <w:rStyle w:val="ae"/>
          <w:rFonts w:ascii="Times New Roman" w:hAnsi="Times New Roman" w:cs="Times New Roman"/>
          <w:sz w:val="26"/>
          <w:szCs w:val="26"/>
        </w:rPr>
        <w:footnoteReference w:id="330"/>
      </w:r>
      <w:r w:rsidR="00D57172" w:rsidRPr="00DE3DAA">
        <w:rPr>
          <w:rFonts w:ascii="Times New Roman" w:hAnsi="Times New Roman" w:cs="Times New Roman"/>
          <w:sz w:val="26"/>
          <w:szCs w:val="26"/>
        </w:rPr>
        <w:t xml:space="preserve"> A good </w:t>
      </w:r>
      <w:r w:rsidR="006A23F1" w:rsidRPr="00DE3DAA">
        <w:rPr>
          <w:rFonts w:ascii="Times New Roman" w:hAnsi="Times New Roman" w:cs="Times New Roman"/>
          <w:sz w:val="26"/>
          <w:szCs w:val="26"/>
        </w:rPr>
        <w:t xml:space="preserve">example </w:t>
      </w:r>
      <w:r w:rsidR="006F79C7" w:rsidRPr="00DE3DAA">
        <w:rPr>
          <w:rFonts w:ascii="Times New Roman" w:hAnsi="Times New Roman" w:cs="Times New Roman"/>
          <w:sz w:val="26"/>
          <w:szCs w:val="26"/>
        </w:rPr>
        <w:t>can be provided</w:t>
      </w:r>
      <w:r w:rsidR="006A23F1" w:rsidRPr="00DE3DAA">
        <w:rPr>
          <w:rFonts w:ascii="Times New Roman" w:hAnsi="Times New Roman" w:cs="Times New Roman"/>
          <w:sz w:val="26"/>
          <w:szCs w:val="26"/>
        </w:rPr>
        <w:t xml:space="preserve"> by the </w:t>
      </w:r>
      <w:r w:rsidR="006F79C7" w:rsidRPr="00DE3DAA">
        <w:rPr>
          <w:rFonts w:ascii="Times New Roman" w:hAnsi="Times New Roman" w:cs="Times New Roman"/>
          <w:sz w:val="26"/>
          <w:szCs w:val="26"/>
        </w:rPr>
        <w:t>well-known</w:t>
      </w:r>
      <w:r w:rsidR="006A23F1" w:rsidRPr="00DE3DAA">
        <w:rPr>
          <w:rFonts w:ascii="Times New Roman" w:hAnsi="Times New Roman" w:cs="Times New Roman"/>
          <w:sz w:val="26"/>
          <w:szCs w:val="26"/>
        </w:rPr>
        <w:t xml:space="preserve"> ‘Ullswater amendment’ which was added to the provisions of TURERA 1993 at a late stage of its passage through Parliament</w:t>
      </w:r>
      <w:r w:rsidR="00590358" w:rsidRPr="00DE3DAA">
        <w:rPr>
          <w:rStyle w:val="ae"/>
          <w:rFonts w:ascii="Times New Roman" w:hAnsi="Times New Roman" w:cs="Times New Roman"/>
          <w:sz w:val="26"/>
          <w:szCs w:val="26"/>
        </w:rPr>
        <w:footnoteReference w:id="331"/>
      </w:r>
      <w:r w:rsidR="006F79C7" w:rsidRPr="00DE3DAA">
        <w:rPr>
          <w:rFonts w:ascii="Times New Roman" w:hAnsi="Times New Roman" w:cs="Times New Roman"/>
          <w:sz w:val="26"/>
          <w:szCs w:val="26"/>
        </w:rPr>
        <w:t xml:space="preserve"> in order, to fend off an apparent illegality which the Court of Appeal seemed to have </w:t>
      </w:r>
      <w:r w:rsidR="006F79C7" w:rsidRPr="00DE3DAA">
        <w:rPr>
          <w:rFonts w:ascii="Times New Roman" w:hAnsi="Times New Roman" w:cs="Times New Roman"/>
          <w:sz w:val="26"/>
          <w:szCs w:val="26"/>
        </w:rPr>
        <w:lastRenderedPageBreak/>
        <w:t>attached</w:t>
      </w:r>
      <w:r w:rsidR="00590358" w:rsidRPr="00DE3DAA">
        <w:rPr>
          <w:rStyle w:val="ae"/>
          <w:rFonts w:ascii="Times New Roman" w:hAnsi="Times New Roman" w:cs="Times New Roman"/>
          <w:sz w:val="26"/>
          <w:szCs w:val="26"/>
        </w:rPr>
        <w:footnoteReference w:id="332"/>
      </w:r>
      <w:r w:rsidR="006F79C7" w:rsidRPr="00DE3DAA">
        <w:rPr>
          <w:rFonts w:ascii="Times New Roman" w:hAnsi="Times New Roman" w:cs="Times New Roman"/>
          <w:sz w:val="26"/>
          <w:szCs w:val="26"/>
        </w:rPr>
        <w:t xml:space="preserve">to the then very current and growing practice of offering inducements to workers to move out of the protection </w:t>
      </w:r>
      <w:r w:rsidR="0056283B" w:rsidRPr="00DE3DAA">
        <w:rPr>
          <w:rFonts w:ascii="Times New Roman" w:hAnsi="Times New Roman" w:cs="Times New Roman"/>
          <w:sz w:val="26"/>
          <w:szCs w:val="26"/>
        </w:rPr>
        <w:t>of collective bargaining in the determination of their terms and conditions of employment and into what would be in that particular sense, ‘individual’ or ‘personal’ contracts of employment.</w:t>
      </w:r>
      <w:r w:rsidR="00590358" w:rsidRPr="00DE3DAA">
        <w:rPr>
          <w:rStyle w:val="ae"/>
          <w:rFonts w:ascii="Times New Roman" w:hAnsi="Times New Roman" w:cs="Times New Roman"/>
          <w:sz w:val="26"/>
          <w:szCs w:val="26"/>
        </w:rPr>
        <w:footnoteReference w:id="333"/>
      </w:r>
      <w:r w:rsidR="0056283B" w:rsidRPr="00DE3DAA">
        <w:rPr>
          <w:rFonts w:ascii="Times New Roman" w:hAnsi="Times New Roman" w:cs="Times New Roman"/>
          <w:sz w:val="26"/>
          <w:szCs w:val="26"/>
        </w:rPr>
        <w:t xml:space="preserve"> </w:t>
      </w:r>
      <w:r w:rsidR="005D6262" w:rsidRPr="00DE3DAA">
        <w:rPr>
          <w:rFonts w:ascii="Times New Roman" w:hAnsi="Times New Roman" w:cs="Times New Roman"/>
          <w:sz w:val="26"/>
          <w:szCs w:val="26"/>
        </w:rPr>
        <w:t>This seems to go beyond what was needed in order simply to ensure the legality of the particular practice referred to above, and it seems likely that this measure was deliberately asserting and legitimating a more widely conceived managerial freedom</w:t>
      </w:r>
      <w:r w:rsidR="00403CEF" w:rsidRPr="00DE3DAA">
        <w:rPr>
          <w:rFonts w:ascii="Times New Roman" w:hAnsi="Times New Roman" w:cs="Times New Roman"/>
          <w:sz w:val="26"/>
          <w:szCs w:val="26"/>
        </w:rPr>
        <w:t>, which is in fact the freedom to change and adapt personal work relations in any way which commended itself to the employer.</w:t>
      </w:r>
      <w:r w:rsidR="00590358" w:rsidRPr="00DE3DAA">
        <w:rPr>
          <w:rStyle w:val="ae"/>
          <w:rFonts w:ascii="Times New Roman" w:hAnsi="Times New Roman" w:cs="Times New Roman"/>
          <w:sz w:val="26"/>
          <w:szCs w:val="26"/>
        </w:rPr>
        <w:footnoteReference w:id="334"/>
      </w:r>
      <w:r w:rsidR="00AF1DCC" w:rsidRPr="00DE3DAA">
        <w:rPr>
          <w:rFonts w:ascii="Times New Roman" w:hAnsi="Times New Roman" w:cs="Times New Roman"/>
          <w:sz w:val="26"/>
          <w:szCs w:val="26"/>
        </w:rPr>
        <w:t xml:space="preserve"> It can be</w:t>
      </w:r>
      <w:r w:rsidR="001F6D4F" w:rsidRPr="00DE3DAA">
        <w:rPr>
          <w:rFonts w:ascii="Times New Roman" w:hAnsi="Times New Roman" w:cs="Times New Roman"/>
          <w:sz w:val="26"/>
          <w:szCs w:val="26"/>
        </w:rPr>
        <w:t xml:space="preserve"> this was true </w:t>
      </w:r>
      <w:r w:rsidR="00AF1DCC" w:rsidRPr="00DE3DAA">
        <w:rPr>
          <w:rFonts w:ascii="Times New Roman" w:hAnsi="Times New Roman" w:cs="Times New Roman"/>
          <w:sz w:val="26"/>
          <w:szCs w:val="26"/>
        </w:rPr>
        <w:t xml:space="preserve">with the Deregulation and Contracting Out Act 1994. Part </w:t>
      </w:r>
      <w:r w:rsidR="00AF1DCC" w:rsidRPr="00DE3DAA">
        <w:rPr>
          <w:rFonts w:ascii="Times New Roman" w:eastAsia="바탕" w:hAnsi="Times New Roman" w:cs="Times New Roman"/>
          <w:sz w:val="26"/>
          <w:szCs w:val="26"/>
        </w:rPr>
        <w:t xml:space="preserve">Ⅰ of the Act, on Deregulation, its aim and effect </w:t>
      </w:r>
      <w:proofErr w:type="gramStart"/>
      <w:r w:rsidR="00AF1DCC" w:rsidRPr="00DE3DAA">
        <w:rPr>
          <w:rFonts w:ascii="Times New Roman" w:eastAsia="바탕" w:hAnsi="Times New Roman" w:cs="Times New Roman"/>
          <w:sz w:val="26"/>
          <w:szCs w:val="26"/>
        </w:rPr>
        <w:t>was</w:t>
      </w:r>
      <w:proofErr w:type="gramEnd"/>
      <w:r w:rsidR="00AF1DCC" w:rsidRPr="00DE3DAA">
        <w:rPr>
          <w:rFonts w:ascii="Times New Roman" w:eastAsia="바탕" w:hAnsi="Times New Roman" w:cs="Times New Roman"/>
          <w:sz w:val="26"/>
          <w:szCs w:val="26"/>
        </w:rPr>
        <w:t xml:space="preserve"> </w:t>
      </w:r>
      <w:r w:rsidR="00DD6F1B" w:rsidRPr="00DE3DAA">
        <w:rPr>
          <w:rFonts w:ascii="Times New Roman" w:eastAsia="바탕" w:hAnsi="Times New Roman" w:cs="Times New Roman"/>
          <w:sz w:val="26"/>
          <w:szCs w:val="26"/>
        </w:rPr>
        <w:t xml:space="preserve">mentioned </w:t>
      </w:r>
      <w:r w:rsidR="00AF1DCC" w:rsidRPr="00DE3DAA">
        <w:rPr>
          <w:rFonts w:ascii="Times New Roman" w:eastAsia="바탕" w:hAnsi="Times New Roman" w:cs="Times New Roman"/>
          <w:sz w:val="26"/>
          <w:szCs w:val="26"/>
        </w:rPr>
        <w:t xml:space="preserve">to pursue further the </w:t>
      </w:r>
      <w:proofErr w:type="spellStart"/>
      <w:r w:rsidR="00AF1DCC" w:rsidRPr="00DE3DAA">
        <w:rPr>
          <w:rFonts w:ascii="Times New Roman" w:eastAsia="바탕" w:hAnsi="Times New Roman" w:cs="Times New Roman"/>
          <w:sz w:val="26"/>
          <w:szCs w:val="26"/>
        </w:rPr>
        <w:t>programme</w:t>
      </w:r>
      <w:proofErr w:type="spellEnd"/>
      <w:r w:rsidR="00AF1DCC" w:rsidRPr="00DE3DAA">
        <w:rPr>
          <w:rFonts w:ascii="Times New Roman" w:eastAsia="바탕" w:hAnsi="Times New Roman" w:cs="Times New Roman"/>
          <w:sz w:val="26"/>
          <w:szCs w:val="26"/>
        </w:rPr>
        <w:t xml:space="preserve"> of deregulation of the Thatcher administration, invoking the same often crude rhetoric of ‘reducing burdens on business’ and ‘cutting red tape’</w:t>
      </w:r>
      <w:r w:rsidR="00590358" w:rsidRPr="00DE3DAA">
        <w:rPr>
          <w:rStyle w:val="ae"/>
          <w:rFonts w:ascii="Times New Roman" w:eastAsia="바탕" w:hAnsi="Times New Roman" w:cs="Times New Roman"/>
          <w:sz w:val="26"/>
          <w:szCs w:val="26"/>
        </w:rPr>
        <w:footnoteReference w:id="335"/>
      </w:r>
      <w:r w:rsidR="00AF1DCC" w:rsidRPr="00DE3DAA">
        <w:rPr>
          <w:rFonts w:ascii="Times New Roman" w:eastAsia="바탕" w:hAnsi="Times New Roman" w:cs="Times New Roman"/>
          <w:sz w:val="26"/>
          <w:szCs w:val="26"/>
        </w:rPr>
        <w:t xml:space="preserve">, even making the former terminology into a legislative term of art. </w:t>
      </w:r>
      <w:r w:rsidR="00DD6F1B" w:rsidRPr="00DE3DAA">
        <w:rPr>
          <w:rFonts w:ascii="Times New Roman" w:eastAsia="바탕" w:hAnsi="Times New Roman" w:cs="Times New Roman"/>
          <w:sz w:val="26"/>
          <w:szCs w:val="26"/>
        </w:rPr>
        <w:t xml:space="preserve">The principal aim and effect of Part </w:t>
      </w:r>
      <w:bookmarkStart w:id="4" w:name="_Hlk520620973"/>
      <w:r w:rsidR="00656EDB" w:rsidRPr="00DE3DAA">
        <w:rPr>
          <w:rFonts w:ascii="Times New Roman" w:eastAsia="바탕" w:hAnsi="Times New Roman" w:cs="Times New Roman"/>
          <w:sz w:val="26"/>
          <w:szCs w:val="26"/>
        </w:rPr>
        <w:t xml:space="preserve">Ⅰ </w:t>
      </w:r>
      <w:bookmarkEnd w:id="4"/>
      <w:r w:rsidR="00656EDB" w:rsidRPr="00DE3DAA">
        <w:rPr>
          <w:rFonts w:ascii="Times New Roman" w:eastAsia="바탕" w:hAnsi="Times New Roman" w:cs="Times New Roman"/>
          <w:sz w:val="26"/>
          <w:szCs w:val="26"/>
        </w:rPr>
        <w:t xml:space="preserve">was to enable deregulatory repeals or amendments of primary legislation to be </w:t>
      </w:r>
      <w:proofErr w:type="gramStart"/>
      <w:r w:rsidR="00656EDB" w:rsidRPr="00DE3DAA">
        <w:rPr>
          <w:rFonts w:ascii="Times New Roman" w:eastAsia="바탕" w:hAnsi="Times New Roman" w:cs="Times New Roman"/>
          <w:sz w:val="26"/>
          <w:szCs w:val="26"/>
        </w:rPr>
        <w:t>effected</w:t>
      </w:r>
      <w:proofErr w:type="gramEnd"/>
      <w:r w:rsidR="00656EDB" w:rsidRPr="00DE3DAA">
        <w:rPr>
          <w:rFonts w:ascii="Times New Roman" w:eastAsia="바탕" w:hAnsi="Times New Roman" w:cs="Times New Roman"/>
          <w:sz w:val="26"/>
          <w:szCs w:val="26"/>
        </w:rPr>
        <w:t xml:space="preserve"> by ministerial orders, a transfer of legislative power from Parliament to government often characterized as a ‘Henry </w:t>
      </w:r>
      <w:bookmarkStart w:id="5" w:name="_Hlk520614855"/>
      <w:r w:rsidR="00656EDB" w:rsidRPr="00DE3DAA">
        <w:rPr>
          <w:rFonts w:ascii="Times New Roman" w:eastAsia="바탕" w:hAnsi="Times New Roman" w:cs="Times New Roman"/>
          <w:sz w:val="26"/>
          <w:szCs w:val="26"/>
        </w:rPr>
        <w:t xml:space="preserve">Ⅷ </w:t>
      </w:r>
      <w:bookmarkEnd w:id="5"/>
      <w:r w:rsidR="00656EDB" w:rsidRPr="00DE3DAA">
        <w:rPr>
          <w:rFonts w:ascii="Times New Roman" w:eastAsia="바탕" w:hAnsi="Times New Roman" w:cs="Times New Roman"/>
          <w:sz w:val="26"/>
          <w:szCs w:val="26"/>
        </w:rPr>
        <w:t>clause’</w:t>
      </w:r>
      <w:r w:rsidR="00590358" w:rsidRPr="00DE3DAA">
        <w:rPr>
          <w:rStyle w:val="ae"/>
          <w:rFonts w:ascii="Times New Roman" w:eastAsia="바탕" w:hAnsi="Times New Roman" w:cs="Times New Roman"/>
          <w:sz w:val="26"/>
          <w:szCs w:val="26"/>
        </w:rPr>
        <w:footnoteReference w:id="336"/>
      </w:r>
      <w:r w:rsidR="004134B4" w:rsidRPr="00DE3DAA">
        <w:rPr>
          <w:rFonts w:ascii="Times New Roman" w:eastAsia="바탕" w:hAnsi="Times New Roman" w:cs="Times New Roman"/>
          <w:sz w:val="26"/>
          <w:szCs w:val="26"/>
        </w:rPr>
        <w:t>.</w:t>
      </w:r>
      <w:r w:rsidR="000331F3" w:rsidRPr="00DE3DAA">
        <w:rPr>
          <w:rFonts w:ascii="Times New Roman" w:eastAsia="바탕" w:hAnsi="Times New Roman" w:cs="Times New Roman"/>
          <w:sz w:val="26"/>
          <w:szCs w:val="26"/>
        </w:rPr>
        <w:t xml:space="preserve"> It was clearly intended that this power might be used </w:t>
      </w:r>
      <w:proofErr w:type="gramStart"/>
      <w:r w:rsidR="000331F3" w:rsidRPr="00DE3DAA">
        <w:rPr>
          <w:rFonts w:ascii="Times New Roman" w:eastAsia="바탕" w:hAnsi="Times New Roman" w:cs="Times New Roman"/>
          <w:sz w:val="26"/>
          <w:szCs w:val="26"/>
        </w:rPr>
        <w:t>with regard to</w:t>
      </w:r>
      <w:proofErr w:type="gramEnd"/>
      <w:r w:rsidR="000331F3" w:rsidRPr="00DE3DAA">
        <w:rPr>
          <w:rFonts w:ascii="Times New Roman" w:eastAsia="바탕" w:hAnsi="Times New Roman" w:cs="Times New Roman"/>
          <w:sz w:val="26"/>
          <w:szCs w:val="26"/>
        </w:rPr>
        <w:t xml:space="preserve"> employment legislation </w:t>
      </w:r>
      <w:r w:rsidR="00DE7C31" w:rsidRPr="00DE3DAA">
        <w:rPr>
          <w:rFonts w:ascii="Times New Roman" w:eastAsia="바탕" w:hAnsi="Times New Roman" w:cs="Times New Roman"/>
          <w:sz w:val="26"/>
          <w:szCs w:val="26"/>
        </w:rPr>
        <w:t xml:space="preserve">even though </w:t>
      </w:r>
      <w:r w:rsidR="00C178E7" w:rsidRPr="00DE3DAA">
        <w:rPr>
          <w:rFonts w:ascii="Times New Roman" w:eastAsia="바탕" w:hAnsi="Times New Roman" w:cs="Times New Roman"/>
          <w:sz w:val="26"/>
          <w:szCs w:val="26"/>
        </w:rPr>
        <w:t xml:space="preserve">in the event this seems to have happened </w:t>
      </w:r>
      <w:r w:rsidR="000331F3" w:rsidRPr="00DE3DAA">
        <w:rPr>
          <w:rFonts w:ascii="Times New Roman" w:eastAsia="바탕" w:hAnsi="Times New Roman" w:cs="Times New Roman"/>
          <w:sz w:val="26"/>
          <w:szCs w:val="26"/>
        </w:rPr>
        <w:t>in only one</w:t>
      </w:r>
      <w:r w:rsidR="00590358" w:rsidRPr="00DE3DAA">
        <w:rPr>
          <w:rStyle w:val="ae"/>
          <w:rFonts w:ascii="Times New Roman" w:eastAsia="바탕" w:hAnsi="Times New Roman" w:cs="Times New Roman"/>
          <w:sz w:val="26"/>
          <w:szCs w:val="26"/>
        </w:rPr>
        <w:footnoteReference w:id="337"/>
      </w:r>
      <w:r w:rsidR="000331F3" w:rsidRPr="00DE3DAA">
        <w:rPr>
          <w:rFonts w:ascii="Times New Roman" w:eastAsia="바탕" w:hAnsi="Times New Roman" w:cs="Times New Roman"/>
          <w:sz w:val="26"/>
          <w:szCs w:val="26"/>
        </w:rPr>
        <w:t xml:space="preserve"> of about fifty instances </w:t>
      </w:r>
      <w:r w:rsidR="00C178E7" w:rsidRPr="00DE3DAA">
        <w:rPr>
          <w:rFonts w:ascii="Times New Roman" w:eastAsia="바탕" w:hAnsi="Times New Roman" w:cs="Times New Roman"/>
          <w:sz w:val="26"/>
          <w:szCs w:val="26"/>
        </w:rPr>
        <w:t xml:space="preserve">where this power was invoked. But </w:t>
      </w:r>
      <w:r w:rsidR="00C178E7" w:rsidRPr="00DE3DAA">
        <w:rPr>
          <w:rFonts w:ascii="Times New Roman" w:eastAsia="바탕" w:hAnsi="Times New Roman" w:cs="Times New Roman"/>
          <w:sz w:val="26"/>
          <w:szCs w:val="26"/>
        </w:rPr>
        <w:lastRenderedPageBreak/>
        <w:t>although that power was scarcely used in the employment area, Part Ⅰ itself contained some signifi</w:t>
      </w:r>
      <w:r w:rsidR="00363947" w:rsidRPr="00DE3DAA">
        <w:rPr>
          <w:rFonts w:ascii="Times New Roman" w:eastAsia="바탕" w:hAnsi="Times New Roman" w:cs="Times New Roman"/>
          <w:sz w:val="26"/>
          <w:szCs w:val="26"/>
        </w:rPr>
        <w:t>cant deregulatory measures affecting employment, of which the most important was the conferment of a specific power to repeal certain occupational health and safety legislation,</w:t>
      </w:r>
      <w:r w:rsidR="00ED61D0" w:rsidRPr="00DE3DAA">
        <w:rPr>
          <w:rStyle w:val="ae"/>
          <w:rFonts w:ascii="Times New Roman" w:eastAsia="바탕" w:hAnsi="Times New Roman" w:cs="Times New Roman"/>
          <w:sz w:val="26"/>
          <w:szCs w:val="26"/>
        </w:rPr>
        <w:footnoteReference w:id="338"/>
      </w:r>
      <w:r w:rsidR="00363947" w:rsidRPr="00DE3DAA">
        <w:rPr>
          <w:rFonts w:ascii="Times New Roman" w:eastAsia="바탕" w:hAnsi="Times New Roman" w:cs="Times New Roman"/>
          <w:sz w:val="26"/>
          <w:szCs w:val="26"/>
        </w:rPr>
        <w:t xml:space="preserve"> the curtailment of existing legislation concerning unfair dismissal consisting of selection for redundancy,</w:t>
      </w:r>
      <w:r w:rsidR="00ED61D0" w:rsidRPr="00DE3DAA">
        <w:rPr>
          <w:rStyle w:val="ae"/>
          <w:rFonts w:ascii="Times New Roman" w:eastAsia="바탕" w:hAnsi="Times New Roman" w:cs="Times New Roman"/>
          <w:sz w:val="26"/>
          <w:szCs w:val="26"/>
        </w:rPr>
        <w:footnoteReference w:id="339"/>
      </w:r>
      <w:r w:rsidR="00363947" w:rsidRPr="00DE3DAA">
        <w:rPr>
          <w:rFonts w:ascii="Times New Roman" w:eastAsia="바탕" w:hAnsi="Times New Roman" w:cs="Times New Roman"/>
          <w:sz w:val="26"/>
          <w:szCs w:val="26"/>
        </w:rPr>
        <w:t xml:space="preserve"> and the replacement of the system of licensing for employment agencies by a less intense regulation by prohibition orders.</w:t>
      </w:r>
      <w:r w:rsidR="00ED61D0" w:rsidRPr="00DE3DAA">
        <w:rPr>
          <w:rStyle w:val="ae"/>
          <w:rFonts w:ascii="Times New Roman" w:eastAsia="바탕" w:hAnsi="Times New Roman" w:cs="Times New Roman"/>
          <w:sz w:val="26"/>
          <w:szCs w:val="26"/>
        </w:rPr>
        <w:footnoteReference w:id="340"/>
      </w:r>
      <w:r w:rsidR="00AC463C" w:rsidRPr="00DE3DAA">
        <w:rPr>
          <w:rFonts w:ascii="Times New Roman" w:eastAsia="바탕" w:hAnsi="Times New Roman" w:cs="Times New Roman"/>
          <w:sz w:val="26"/>
          <w:szCs w:val="26"/>
        </w:rPr>
        <w:t xml:space="preserve"> </w:t>
      </w:r>
      <w:r w:rsidR="00942416" w:rsidRPr="00DE3DAA">
        <w:rPr>
          <w:rFonts w:ascii="Times New Roman" w:eastAsia="바탕" w:hAnsi="Times New Roman" w:cs="Times New Roman"/>
          <w:sz w:val="26"/>
          <w:szCs w:val="26"/>
        </w:rPr>
        <w:t xml:space="preserve">In addition, the government was engaged </w:t>
      </w:r>
      <w:r w:rsidR="00BD1D42" w:rsidRPr="00DE3DAA">
        <w:rPr>
          <w:rFonts w:ascii="Times New Roman" w:eastAsia="바탕" w:hAnsi="Times New Roman" w:cs="Times New Roman"/>
          <w:sz w:val="26"/>
          <w:szCs w:val="26"/>
        </w:rPr>
        <w:t>not only in deregulation but also in</w:t>
      </w:r>
      <w:r w:rsidR="00942416" w:rsidRPr="00DE3DAA">
        <w:rPr>
          <w:rFonts w:ascii="Times New Roman" w:eastAsia="바탕" w:hAnsi="Times New Roman" w:cs="Times New Roman"/>
          <w:sz w:val="26"/>
          <w:szCs w:val="26"/>
        </w:rPr>
        <w:t xml:space="preserve"> the construction of a particular approach to managerial freedom and adaptability in personal work relations</w:t>
      </w:r>
      <w:r w:rsidR="00BD1D42" w:rsidRPr="00DE3DAA">
        <w:rPr>
          <w:rFonts w:ascii="Times New Roman" w:eastAsia="바탕" w:hAnsi="Times New Roman" w:cs="Times New Roman"/>
          <w:sz w:val="26"/>
          <w:szCs w:val="26"/>
        </w:rPr>
        <w:t xml:space="preserve"> in bringing forward this legislation</w:t>
      </w:r>
      <w:r w:rsidR="005779A6" w:rsidRPr="00DE3DAA">
        <w:rPr>
          <w:rFonts w:ascii="Times New Roman" w:eastAsia="바탕" w:hAnsi="Times New Roman" w:cs="Times New Roman"/>
          <w:sz w:val="26"/>
          <w:szCs w:val="26"/>
        </w:rPr>
        <w:t>.</w:t>
      </w:r>
      <w:r w:rsidR="00ED61D0" w:rsidRPr="00DE3DAA">
        <w:rPr>
          <w:rStyle w:val="ae"/>
          <w:rFonts w:ascii="Times New Roman" w:eastAsia="바탕" w:hAnsi="Times New Roman" w:cs="Times New Roman"/>
          <w:sz w:val="26"/>
          <w:szCs w:val="26"/>
        </w:rPr>
        <w:footnoteReference w:id="341"/>
      </w:r>
      <w:r w:rsidR="005779A6" w:rsidRPr="00DE3DAA">
        <w:rPr>
          <w:rFonts w:ascii="Times New Roman" w:eastAsia="바탕" w:hAnsi="Times New Roman" w:cs="Times New Roman"/>
          <w:sz w:val="26"/>
          <w:szCs w:val="26"/>
        </w:rPr>
        <w:t xml:space="preserve"> </w:t>
      </w:r>
      <w:r w:rsidR="00E748C7" w:rsidRPr="00DE3DAA">
        <w:rPr>
          <w:rFonts w:ascii="Times New Roman" w:eastAsia="바탕" w:hAnsi="Times New Roman" w:cs="Times New Roman"/>
          <w:sz w:val="26"/>
          <w:szCs w:val="26"/>
        </w:rPr>
        <w:t xml:space="preserve">The immediate purpose and effect of Part Ⅱ was to facilitate the contracting out of central government functions, essentially by ensuring that a broad set of </w:t>
      </w:r>
      <w:r w:rsidR="00A47E0E" w:rsidRPr="00DE3DAA">
        <w:rPr>
          <w:rFonts w:ascii="Times New Roman" w:eastAsia="바탕" w:hAnsi="Times New Roman" w:cs="Times New Roman"/>
          <w:sz w:val="26"/>
          <w:szCs w:val="26"/>
        </w:rPr>
        <w:t>such functions could be delegated to private contractors by ministerial order.</w:t>
      </w:r>
      <w:r w:rsidR="00ED61D0" w:rsidRPr="00DE3DAA">
        <w:rPr>
          <w:rStyle w:val="ae"/>
          <w:rFonts w:ascii="Times New Roman" w:eastAsia="바탕" w:hAnsi="Times New Roman" w:cs="Times New Roman"/>
          <w:sz w:val="26"/>
          <w:szCs w:val="26"/>
        </w:rPr>
        <w:footnoteReference w:id="342"/>
      </w:r>
      <w:r w:rsidR="001B6A96" w:rsidRPr="00DE3DAA">
        <w:rPr>
          <w:rFonts w:ascii="Times New Roman" w:eastAsia="바탕" w:hAnsi="Times New Roman" w:cs="Times New Roman"/>
          <w:sz w:val="26"/>
          <w:szCs w:val="26"/>
        </w:rPr>
        <w:t xml:space="preserve"> Even though it was suggested that the notions of de-</w:t>
      </w:r>
      <w:proofErr w:type="spellStart"/>
      <w:r w:rsidR="001B6A96" w:rsidRPr="00DE3DAA">
        <w:rPr>
          <w:rFonts w:ascii="Times New Roman" w:eastAsia="바탕" w:hAnsi="Times New Roman" w:cs="Times New Roman"/>
          <w:sz w:val="26"/>
          <w:szCs w:val="26"/>
        </w:rPr>
        <w:t>collectivisation</w:t>
      </w:r>
      <w:proofErr w:type="spellEnd"/>
      <w:r w:rsidR="001B6A96" w:rsidRPr="00DE3DAA">
        <w:rPr>
          <w:rFonts w:ascii="Times New Roman" w:eastAsia="바탕" w:hAnsi="Times New Roman" w:cs="Times New Roman"/>
          <w:sz w:val="26"/>
          <w:szCs w:val="26"/>
        </w:rPr>
        <w:t xml:space="preserve"> and de-</w:t>
      </w:r>
      <w:proofErr w:type="spellStart"/>
      <w:r w:rsidR="001B6A96" w:rsidRPr="00DE3DAA">
        <w:rPr>
          <w:rFonts w:ascii="Times New Roman" w:eastAsia="바탕" w:hAnsi="Times New Roman" w:cs="Times New Roman"/>
          <w:sz w:val="26"/>
          <w:szCs w:val="26"/>
        </w:rPr>
        <w:t>standardisation</w:t>
      </w:r>
      <w:proofErr w:type="spellEnd"/>
      <w:r w:rsidR="001B6A96" w:rsidRPr="00DE3DAA">
        <w:rPr>
          <w:rFonts w:ascii="Times New Roman" w:eastAsia="바탕" w:hAnsi="Times New Roman" w:cs="Times New Roman"/>
          <w:sz w:val="26"/>
          <w:szCs w:val="26"/>
        </w:rPr>
        <w:t xml:space="preserve"> of personal work relations play a contributory part in the idea of managerial adaptability, </w:t>
      </w:r>
      <w:r w:rsidR="000C7F8E" w:rsidRPr="00DE3DAA">
        <w:rPr>
          <w:rFonts w:ascii="Times New Roman" w:eastAsia="바탕" w:hAnsi="Times New Roman" w:cs="Times New Roman"/>
          <w:sz w:val="26"/>
          <w:szCs w:val="26"/>
        </w:rPr>
        <w:t>the crucial element in t</w:t>
      </w:r>
      <w:r w:rsidR="001B6A96" w:rsidRPr="00DE3DAA">
        <w:rPr>
          <w:rFonts w:ascii="Times New Roman" w:eastAsia="바탕" w:hAnsi="Times New Roman" w:cs="Times New Roman"/>
          <w:sz w:val="26"/>
          <w:szCs w:val="26"/>
        </w:rPr>
        <w:t>he idea of managerial adaptability was identified as consisting of a well-developed capacity and readiness for the frequent re-structuring of personal work relations, whether with regard to the institutional structure of the employing enterprise, or with regard to the contractual and managerial framework of relations with particular workers.</w:t>
      </w:r>
      <w:r w:rsidR="00ED61D0" w:rsidRPr="00DE3DAA">
        <w:rPr>
          <w:rStyle w:val="ae"/>
          <w:rFonts w:ascii="Times New Roman" w:eastAsia="바탕" w:hAnsi="Times New Roman" w:cs="Times New Roman"/>
          <w:sz w:val="26"/>
          <w:szCs w:val="26"/>
        </w:rPr>
        <w:footnoteReference w:id="343"/>
      </w:r>
      <w:r w:rsidR="007F3A2D" w:rsidRPr="00DE3DAA">
        <w:rPr>
          <w:rFonts w:ascii="Times New Roman" w:eastAsia="바탕" w:hAnsi="Times New Roman" w:cs="Times New Roman"/>
          <w:sz w:val="26"/>
          <w:szCs w:val="26"/>
        </w:rPr>
        <w:t xml:space="preserve"> It can be noticed that there is a contrast between the ways in which governments </w:t>
      </w:r>
      <w:r w:rsidR="007F3A2D" w:rsidRPr="00DE3DAA">
        <w:rPr>
          <w:rFonts w:ascii="Times New Roman" w:eastAsia="바탕" w:hAnsi="Times New Roman" w:cs="Times New Roman"/>
          <w:sz w:val="26"/>
          <w:szCs w:val="26"/>
        </w:rPr>
        <w:lastRenderedPageBreak/>
        <w:t xml:space="preserve">during and since 1990s have pursued that goal. </w:t>
      </w:r>
      <w:r w:rsidR="00D648EB" w:rsidRPr="00DE3DAA">
        <w:rPr>
          <w:rFonts w:ascii="Times New Roman" w:eastAsia="바탕" w:hAnsi="Times New Roman" w:cs="Times New Roman"/>
          <w:sz w:val="26"/>
          <w:szCs w:val="26"/>
        </w:rPr>
        <w:t>While governments did not perceive the need positively to impose their notion of managerial adaptability with regard to personal work relations the private sector, they generally took the view that the best examples of managerial adaptability were being generated spontaneously from within the private sector of personal work relations, so that the role of government was to encourage and facilitate that best practice rather than to exact it in any coercive way.</w:t>
      </w:r>
      <w:r w:rsidR="00ED61D0" w:rsidRPr="00DE3DAA">
        <w:rPr>
          <w:rStyle w:val="ae"/>
          <w:rFonts w:ascii="Times New Roman" w:eastAsia="바탕" w:hAnsi="Times New Roman" w:cs="Times New Roman"/>
          <w:sz w:val="26"/>
          <w:szCs w:val="26"/>
        </w:rPr>
        <w:footnoteReference w:id="344"/>
      </w:r>
      <w:r w:rsidR="00B16D88" w:rsidRPr="00DE3DAA">
        <w:rPr>
          <w:rFonts w:ascii="Times New Roman" w:eastAsia="바탕" w:hAnsi="Times New Roman" w:cs="Times New Roman"/>
          <w:sz w:val="26"/>
          <w:szCs w:val="26"/>
        </w:rPr>
        <w:t xml:space="preserve"> On the other hand, </w:t>
      </w:r>
      <w:r w:rsidR="00B06A81" w:rsidRPr="00DE3DAA">
        <w:rPr>
          <w:rFonts w:ascii="Times New Roman" w:eastAsia="바탕" w:hAnsi="Times New Roman" w:cs="Times New Roman"/>
          <w:sz w:val="26"/>
          <w:szCs w:val="26"/>
        </w:rPr>
        <w:t>with regard to per</w:t>
      </w:r>
      <w:r w:rsidR="00B16D88" w:rsidRPr="00DE3DAA">
        <w:rPr>
          <w:rFonts w:ascii="Times New Roman" w:eastAsia="바탕" w:hAnsi="Times New Roman" w:cs="Times New Roman"/>
          <w:sz w:val="26"/>
          <w:szCs w:val="26"/>
        </w:rPr>
        <w:t xml:space="preserve">sonal work relations in the public sector, governments strongly perceived the necessity to </w:t>
      </w:r>
      <w:r w:rsidR="00B06A81" w:rsidRPr="00DE3DAA">
        <w:rPr>
          <w:rFonts w:ascii="Times New Roman" w:eastAsia="바탕" w:hAnsi="Times New Roman" w:cs="Times New Roman"/>
          <w:sz w:val="26"/>
          <w:szCs w:val="26"/>
        </w:rPr>
        <w:t>raise the issue and insi</w:t>
      </w:r>
      <w:r w:rsidR="00B16D88" w:rsidRPr="00DE3DAA">
        <w:rPr>
          <w:rFonts w:ascii="Times New Roman" w:eastAsia="바탕" w:hAnsi="Times New Roman" w:cs="Times New Roman"/>
          <w:sz w:val="26"/>
          <w:szCs w:val="26"/>
        </w:rPr>
        <w:t xml:space="preserve">st upon the maximizing of managerial adaptability, and </w:t>
      </w:r>
      <w:r w:rsidR="00B06A81" w:rsidRPr="00DE3DAA">
        <w:rPr>
          <w:rFonts w:ascii="Times New Roman" w:eastAsia="바탕" w:hAnsi="Times New Roman" w:cs="Times New Roman"/>
          <w:sz w:val="26"/>
          <w:szCs w:val="26"/>
        </w:rPr>
        <w:t xml:space="preserve">increasingly intended to use their power of organization of public sector activity in order to </w:t>
      </w:r>
      <w:r w:rsidR="00B16D88" w:rsidRPr="00DE3DAA">
        <w:rPr>
          <w:rFonts w:ascii="Times New Roman" w:eastAsia="바탕" w:hAnsi="Times New Roman" w:cs="Times New Roman"/>
          <w:sz w:val="26"/>
          <w:szCs w:val="26"/>
        </w:rPr>
        <w:t>impose their own particular constructs of managerial adaptability.</w:t>
      </w:r>
      <w:r w:rsidR="00ED61D0" w:rsidRPr="00DE3DAA">
        <w:rPr>
          <w:rStyle w:val="ae"/>
          <w:rFonts w:ascii="Times New Roman" w:eastAsia="바탕" w:hAnsi="Times New Roman" w:cs="Times New Roman"/>
          <w:sz w:val="26"/>
          <w:szCs w:val="26"/>
        </w:rPr>
        <w:footnoteReference w:id="345"/>
      </w:r>
      <w:r w:rsidR="009F0F74" w:rsidRPr="00DE3DAA">
        <w:rPr>
          <w:rFonts w:ascii="Times New Roman" w:eastAsia="바탕" w:hAnsi="Times New Roman" w:cs="Times New Roman"/>
          <w:sz w:val="26"/>
          <w:szCs w:val="26"/>
        </w:rPr>
        <w:t xml:space="preserve"> </w:t>
      </w:r>
      <w:r w:rsidR="002272A7" w:rsidRPr="00DE3DAA">
        <w:rPr>
          <w:rFonts w:ascii="Times New Roman" w:eastAsia="바탕" w:hAnsi="Times New Roman" w:cs="Times New Roman"/>
          <w:sz w:val="26"/>
          <w:szCs w:val="26"/>
        </w:rPr>
        <w:t>The Major administration received a very specific inheritance from the previous Thatcher administration</w:t>
      </w:r>
      <w:r w:rsidR="00071C5E" w:rsidRPr="00DE3DAA">
        <w:rPr>
          <w:rFonts w:ascii="Times New Roman" w:eastAsia="바탕" w:hAnsi="Times New Roman" w:cs="Times New Roman"/>
          <w:sz w:val="26"/>
          <w:szCs w:val="26"/>
        </w:rPr>
        <w:t>.</w:t>
      </w:r>
      <w:r w:rsidR="00ED61D0" w:rsidRPr="00DE3DAA">
        <w:rPr>
          <w:rStyle w:val="ae"/>
          <w:rFonts w:ascii="Times New Roman" w:eastAsia="바탕" w:hAnsi="Times New Roman" w:cs="Times New Roman"/>
          <w:sz w:val="26"/>
          <w:szCs w:val="26"/>
        </w:rPr>
        <w:footnoteReference w:id="346"/>
      </w:r>
      <w:r w:rsidR="00071C5E" w:rsidRPr="00DE3DAA">
        <w:rPr>
          <w:rFonts w:ascii="Times New Roman" w:eastAsia="바탕" w:hAnsi="Times New Roman" w:cs="Times New Roman"/>
          <w:sz w:val="26"/>
          <w:szCs w:val="26"/>
        </w:rPr>
        <w:t xml:space="preserve"> </w:t>
      </w:r>
      <w:r w:rsidR="002272A7" w:rsidRPr="00DE3DAA">
        <w:rPr>
          <w:rFonts w:ascii="Times New Roman" w:eastAsia="바탕" w:hAnsi="Times New Roman" w:cs="Times New Roman"/>
          <w:sz w:val="26"/>
          <w:szCs w:val="26"/>
        </w:rPr>
        <w:t>In the course of the 1980s, t</w:t>
      </w:r>
      <w:r w:rsidR="009F0F74" w:rsidRPr="00DE3DAA">
        <w:rPr>
          <w:rFonts w:ascii="Times New Roman" w:eastAsia="바탕" w:hAnsi="Times New Roman" w:cs="Times New Roman"/>
          <w:sz w:val="26"/>
          <w:szCs w:val="26"/>
        </w:rPr>
        <w:t xml:space="preserve">here was an extensive re-structuring of the public employment sector consisting of </w:t>
      </w:r>
      <w:r w:rsidR="000C0A9A" w:rsidRPr="00DE3DAA">
        <w:rPr>
          <w:rFonts w:ascii="Times New Roman" w:eastAsia="바탕" w:hAnsi="Times New Roman" w:cs="Times New Roman"/>
          <w:sz w:val="26"/>
          <w:szCs w:val="26"/>
        </w:rPr>
        <w:t>the transferring the provision of many services both primary or ancillary into the private sector, whether by means of privatization of enterprises or by means of contracting out of activities through processes of competitive tendering.</w:t>
      </w:r>
      <w:r w:rsidR="00ED61D0" w:rsidRPr="00DE3DAA">
        <w:rPr>
          <w:rStyle w:val="ae"/>
          <w:rFonts w:ascii="Times New Roman" w:eastAsia="바탕" w:hAnsi="Times New Roman" w:cs="Times New Roman"/>
          <w:sz w:val="26"/>
          <w:szCs w:val="26"/>
        </w:rPr>
        <w:footnoteReference w:id="347"/>
      </w:r>
      <w:r w:rsidR="002272A7" w:rsidRPr="00DE3DAA">
        <w:rPr>
          <w:rFonts w:ascii="Times New Roman" w:eastAsia="바탕" w:hAnsi="Times New Roman" w:cs="Times New Roman"/>
          <w:sz w:val="26"/>
          <w:szCs w:val="26"/>
        </w:rPr>
        <w:t xml:space="preserve"> </w:t>
      </w:r>
      <w:r w:rsidR="001266A2" w:rsidRPr="00DE3DAA">
        <w:rPr>
          <w:rFonts w:ascii="Times New Roman" w:eastAsia="바탕" w:hAnsi="Times New Roman" w:cs="Times New Roman"/>
          <w:sz w:val="26"/>
          <w:szCs w:val="26"/>
        </w:rPr>
        <w:t xml:space="preserve">During the Major administration continued that process, the most ambitious case of privatization , that of </w:t>
      </w:r>
      <w:r w:rsidR="002272A7" w:rsidRPr="00DE3DAA">
        <w:rPr>
          <w:rFonts w:ascii="Times New Roman" w:eastAsia="바탕" w:hAnsi="Times New Roman" w:cs="Times New Roman"/>
          <w:sz w:val="26"/>
          <w:szCs w:val="26"/>
        </w:rPr>
        <w:t>British Rail</w:t>
      </w:r>
      <w:r w:rsidR="001266A2" w:rsidRPr="00DE3DAA">
        <w:rPr>
          <w:rFonts w:ascii="Times New Roman" w:eastAsia="바탕" w:hAnsi="Times New Roman" w:cs="Times New Roman"/>
          <w:sz w:val="26"/>
          <w:szCs w:val="26"/>
        </w:rPr>
        <w:t xml:space="preserve"> </w:t>
      </w:r>
      <w:r w:rsidR="00ED61D0" w:rsidRPr="00DE3DAA">
        <w:rPr>
          <w:rStyle w:val="ae"/>
          <w:rFonts w:ascii="Times New Roman" w:eastAsia="바탕" w:hAnsi="Times New Roman" w:cs="Times New Roman"/>
          <w:sz w:val="26"/>
          <w:szCs w:val="26"/>
        </w:rPr>
        <w:footnoteReference w:id="348"/>
      </w:r>
      <w:r w:rsidR="001266A2" w:rsidRPr="00DE3DAA">
        <w:rPr>
          <w:rFonts w:ascii="Times New Roman" w:eastAsia="바탕" w:hAnsi="Times New Roman" w:cs="Times New Roman"/>
          <w:sz w:val="26"/>
          <w:szCs w:val="26"/>
        </w:rPr>
        <w:t>was realized,</w:t>
      </w:r>
      <w:r w:rsidR="002272A7" w:rsidRPr="00DE3DAA">
        <w:rPr>
          <w:rFonts w:ascii="Times New Roman" w:eastAsia="바탕" w:hAnsi="Times New Roman" w:cs="Times New Roman"/>
          <w:sz w:val="26"/>
          <w:szCs w:val="26"/>
        </w:rPr>
        <w:t xml:space="preserve"> and the Private Finance Initiative began to foster a new practice of long-term contracting out to the private sector the building and running of various public service facilities such as hospitals, prions, and road bridges.</w:t>
      </w:r>
      <w:r w:rsidR="00ED61D0" w:rsidRPr="00DE3DAA">
        <w:rPr>
          <w:rStyle w:val="ae"/>
          <w:rFonts w:ascii="Times New Roman" w:eastAsia="바탕" w:hAnsi="Times New Roman" w:cs="Times New Roman"/>
          <w:sz w:val="26"/>
          <w:szCs w:val="26"/>
        </w:rPr>
        <w:footnoteReference w:id="349"/>
      </w:r>
      <w:r w:rsidR="0075477F" w:rsidRPr="00DE3DAA">
        <w:rPr>
          <w:rFonts w:ascii="Times New Roman" w:eastAsia="바탕" w:hAnsi="Times New Roman" w:cs="Times New Roman"/>
          <w:sz w:val="26"/>
          <w:szCs w:val="26"/>
        </w:rPr>
        <w:t xml:space="preserve"> That is to say, t</w:t>
      </w:r>
      <w:r w:rsidR="00A97FC3" w:rsidRPr="00DE3DAA">
        <w:rPr>
          <w:rFonts w:ascii="Times New Roman" w:eastAsia="바탕" w:hAnsi="Times New Roman" w:cs="Times New Roman"/>
          <w:sz w:val="26"/>
          <w:szCs w:val="26"/>
        </w:rPr>
        <w:t xml:space="preserve">he Major administration </w:t>
      </w:r>
      <w:r w:rsidR="0075477F" w:rsidRPr="00DE3DAA">
        <w:rPr>
          <w:rFonts w:ascii="Times New Roman" w:eastAsia="바탕" w:hAnsi="Times New Roman" w:cs="Times New Roman"/>
          <w:sz w:val="26"/>
          <w:szCs w:val="26"/>
        </w:rPr>
        <w:t xml:space="preserve">believed that managerial adaptability, and therefore the continuing efficiency of use of public resources in providing public services, </w:t>
      </w:r>
      <w:r w:rsidR="0075477F" w:rsidRPr="00DE3DAA">
        <w:rPr>
          <w:rFonts w:ascii="Times New Roman" w:eastAsia="바탕" w:hAnsi="Times New Roman" w:cs="Times New Roman"/>
          <w:sz w:val="26"/>
          <w:szCs w:val="26"/>
        </w:rPr>
        <w:lastRenderedPageBreak/>
        <w:t>could best be achieved by means of reforms which were in the nature of controlled de-</w:t>
      </w:r>
      <w:proofErr w:type="spellStart"/>
      <w:r w:rsidR="0075477F" w:rsidRPr="00DE3DAA">
        <w:rPr>
          <w:rFonts w:ascii="Times New Roman" w:eastAsia="바탕" w:hAnsi="Times New Roman" w:cs="Times New Roman"/>
          <w:sz w:val="26"/>
          <w:szCs w:val="26"/>
        </w:rPr>
        <w:t>centralisation</w:t>
      </w:r>
      <w:proofErr w:type="spellEnd"/>
      <w:r w:rsidR="0075477F" w:rsidRPr="00DE3DAA">
        <w:rPr>
          <w:rFonts w:ascii="Times New Roman" w:eastAsia="바탕" w:hAnsi="Times New Roman" w:cs="Times New Roman"/>
          <w:sz w:val="26"/>
          <w:szCs w:val="26"/>
        </w:rPr>
        <w:t>, or partial disintegration, of managerial organization into a hierarchy or network of units of service provision, between which contract-like and market-like relations would prevail.</w:t>
      </w:r>
      <w:r w:rsidR="00ED61D0" w:rsidRPr="00DE3DAA">
        <w:rPr>
          <w:rStyle w:val="ae"/>
          <w:rFonts w:ascii="Times New Roman" w:eastAsia="바탕" w:hAnsi="Times New Roman" w:cs="Times New Roman"/>
          <w:sz w:val="26"/>
          <w:szCs w:val="26"/>
        </w:rPr>
        <w:footnoteReference w:id="350"/>
      </w:r>
      <w:r w:rsidR="00FF49A3" w:rsidRPr="00DE3DAA">
        <w:rPr>
          <w:rFonts w:ascii="Times New Roman" w:eastAsia="바탕" w:hAnsi="Times New Roman" w:cs="Times New Roman"/>
          <w:sz w:val="26"/>
          <w:szCs w:val="26"/>
        </w:rPr>
        <w:t xml:space="preserve"> </w:t>
      </w:r>
      <w:r w:rsidR="00BD736D" w:rsidRPr="00DE3DAA">
        <w:rPr>
          <w:rFonts w:ascii="Times New Roman" w:eastAsia="바탕" w:hAnsi="Times New Roman" w:cs="Times New Roman"/>
          <w:sz w:val="26"/>
          <w:szCs w:val="26"/>
        </w:rPr>
        <w:t>As mentioned above, t</w:t>
      </w:r>
      <w:r w:rsidR="00FF49A3" w:rsidRPr="00DE3DAA">
        <w:rPr>
          <w:rFonts w:ascii="Times New Roman" w:eastAsia="바탕" w:hAnsi="Times New Roman" w:cs="Times New Roman"/>
          <w:sz w:val="26"/>
          <w:szCs w:val="26"/>
        </w:rPr>
        <w:t xml:space="preserve">he Major administration succeeded </w:t>
      </w:r>
      <w:r w:rsidR="00BD736D" w:rsidRPr="00DE3DAA">
        <w:rPr>
          <w:rFonts w:ascii="Times New Roman" w:eastAsia="바탕" w:hAnsi="Times New Roman" w:cs="Times New Roman"/>
          <w:sz w:val="26"/>
          <w:szCs w:val="26"/>
        </w:rPr>
        <w:t xml:space="preserve">the process of reform policies which had begun in the latter years of Thatcher administration. One of the most exemplified case would be the </w:t>
      </w:r>
      <w:r w:rsidR="00F74A72" w:rsidRPr="00DE3DAA">
        <w:rPr>
          <w:rFonts w:ascii="Times New Roman" w:eastAsia="바탕" w:hAnsi="Times New Roman" w:cs="Times New Roman"/>
          <w:sz w:val="26"/>
          <w:szCs w:val="26"/>
        </w:rPr>
        <w:t xml:space="preserve">known as the Nest Steps </w:t>
      </w:r>
      <w:proofErr w:type="spellStart"/>
      <w:r w:rsidR="00F74A72" w:rsidRPr="00DE3DAA">
        <w:rPr>
          <w:rFonts w:ascii="Times New Roman" w:eastAsia="바탕" w:hAnsi="Times New Roman" w:cs="Times New Roman"/>
          <w:sz w:val="26"/>
          <w:szCs w:val="26"/>
        </w:rPr>
        <w:t>programme</w:t>
      </w:r>
      <w:proofErr w:type="spellEnd"/>
      <w:r w:rsidR="00F74A72" w:rsidRPr="00DE3DAA">
        <w:rPr>
          <w:rFonts w:ascii="Times New Roman" w:eastAsia="바탕" w:hAnsi="Times New Roman" w:cs="Times New Roman"/>
          <w:sz w:val="26"/>
          <w:szCs w:val="26"/>
        </w:rPr>
        <w:t xml:space="preserve">, consisting </w:t>
      </w:r>
      <w:r w:rsidR="00BD736D" w:rsidRPr="00DE3DAA">
        <w:rPr>
          <w:rFonts w:ascii="Times New Roman" w:eastAsia="바탕" w:hAnsi="Times New Roman" w:cs="Times New Roman"/>
          <w:sz w:val="26"/>
          <w:szCs w:val="26"/>
        </w:rPr>
        <w:t>of breaking up the departmental organization of the Civil Service into a complex of departments on the one hand and, on the other hand, distinct agencies of public service which stood in contract-like relations with their parent departments,</w:t>
      </w:r>
      <w:r w:rsidR="00ED61D0" w:rsidRPr="00DE3DAA">
        <w:rPr>
          <w:rStyle w:val="ae"/>
          <w:rFonts w:ascii="Times New Roman" w:eastAsia="바탕" w:hAnsi="Times New Roman" w:cs="Times New Roman"/>
          <w:sz w:val="26"/>
          <w:szCs w:val="26"/>
        </w:rPr>
        <w:footnoteReference w:id="351"/>
      </w:r>
      <w:r w:rsidR="00BD736D" w:rsidRPr="00DE3DAA">
        <w:rPr>
          <w:rFonts w:ascii="Times New Roman" w:eastAsia="바탕" w:hAnsi="Times New Roman" w:cs="Times New Roman"/>
          <w:sz w:val="26"/>
          <w:szCs w:val="26"/>
        </w:rPr>
        <w:t xml:space="preserve"> provided with some degree of managerial autonomy but constrained by objectives, targets, and procedures </w:t>
      </w:r>
      <w:r w:rsidR="008F67E5" w:rsidRPr="00DE3DAA">
        <w:rPr>
          <w:rFonts w:ascii="Times New Roman" w:eastAsia="바탕" w:hAnsi="Times New Roman" w:cs="Times New Roman"/>
          <w:sz w:val="26"/>
          <w:szCs w:val="26"/>
        </w:rPr>
        <w:t>having been</w:t>
      </w:r>
      <w:r w:rsidR="00BD736D" w:rsidRPr="00DE3DAA">
        <w:rPr>
          <w:rFonts w:ascii="Times New Roman" w:eastAsia="바탕" w:hAnsi="Times New Roman" w:cs="Times New Roman"/>
          <w:sz w:val="26"/>
          <w:szCs w:val="26"/>
        </w:rPr>
        <w:t xml:space="preserve"> set and pursued and varied as necessary by the departments.</w:t>
      </w:r>
      <w:r w:rsidR="00F74A72" w:rsidRPr="00DE3DAA">
        <w:rPr>
          <w:rFonts w:ascii="Times New Roman" w:eastAsia="바탕" w:hAnsi="Times New Roman" w:cs="Times New Roman"/>
          <w:sz w:val="26"/>
          <w:szCs w:val="26"/>
        </w:rPr>
        <w:t xml:space="preserve"> Th</w:t>
      </w:r>
      <w:r w:rsidR="00F667F9" w:rsidRPr="00DE3DAA">
        <w:rPr>
          <w:rFonts w:ascii="Times New Roman" w:eastAsia="바탕" w:hAnsi="Times New Roman" w:cs="Times New Roman"/>
          <w:sz w:val="26"/>
          <w:szCs w:val="26"/>
        </w:rPr>
        <w:t>is</w:t>
      </w:r>
      <w:r w:rsidR="00F74A72" w:rsidRPr="00DE3DAA">
        <w:rPr>
          <w:rFonts w:ascii="Times New Roman" w:eastAsia="바탕" w:hAnsi="Times New Roman" w:cs="Times New Roman"/>
          <w:sz w:val="26"/>
          <w:szCs w:val="26"/>
        </w:rPr>
        <w:t xml:space="preserve"> Next Steps </w:t>
      </w:r>
      <w:proofErr w:type="spellStart"/>
      <w:r w:rsidR="00F74A72" w:rsidRPr="00DE3DAA">
        <w:rPr>
          <w:rFonts w:ascii="Times New Roman" w:eastAsia="바탕" w:hAnsi="Times New Roman" w:cs="Times New Roman"/>
          <w:sz w:val="26"/>
          <w:szCs w:val="26"/>
        </w:rPr>
        <w:t>programme</w:t>
      </w:r>
      <w:proofErr w:type="spellEnd"/>
      <w:r w:rsidR="00F74A72" w:rsidRPr="00DE3DAA">
        <w:rPr>
          <w:rFonts w:ascii="Times New Roman" w:eastAsia="바탕" w:hAnsi="Times New Roman" w:cs="Times New Roman"/>
          <w:sz w:val="26"/>
          <w:szCs w:val="26"/>
        </w:rPr>
        <w:t xml:space="preserve"> </w:t>
      </w:r>
      <w:r w:rsidR="00F667F9" w:rsidRPr="00DE3DAA">
        <w:rPr>
          <w:rFonts w:ascii="Times New Roman" w:eastAsia="바탕" w:hAnsi="Times New Roman" w:cs="Times New Roman"/>
          <w:sz w:val="26"/>
          <w:szCs w:val="26"/>
        </w:rPr>
        <w:t>named after the title of the policy document by which it was launched,</w:t>
      </w:r>
      <w:r w:rsidR="00ED61D0" w:rsidRPr="00DE3DAA">
        <w:rPr>
          <w:rStyle w:val="ae"/>
          <w:rFonts w:ascii="Times New Roman" w:eastAsia="바탕" w:hAnsi="Times New Roman" w:cs="Times New Roman"/>
          <w:sz w:val="26"/>
          <w:szCs w:val="26"/>
        </w:rPr>
        <w:footnoteReference w:id="352"/>
      </w:r>
      <w:r w:rsidR="00F667F9" w:rsidRPr="00DE3DAA">
        <w:rPr>
          <w:rFonts w:ascii="Times New Roman" w:eastAsia="바탕" w:hAnsi="Times New Roman" w:cs="Times New Roman"/>
          <w:sz w:val="26"/>
          <w:szCs w:val="26"/>
        </w:rPr>
        <w:t xml:space="preserve"> </w:t>
      </w:r>
      <w:r w:rsidR="00F74A72" w:rsidRPr="00DE3DAA">
        <w:rPr>
          <w:rFonts w:ascii="Times New Roman" w:eastAsia="바탕" w:hAnsi="Times New Roman" w:cs="Times New Roman"/>
          <w:sz w:val="26"/>
          <w:szCs w:val="26"/>
        </w:rPr>
        <w:t>was initiated by the Thatcher administration and continued into the Major administration.</w:t>
      </w:r>
      <w:r w:rsidR="005E7274" w:rsidRPr="00DE3DAA">
        <w:rPr>
          <w:rFonts w:ascii="Times New Roman" w:eastAsia="바탕" w:hAnsi="Times New Roman" w:cs="Times New Roman"/>
          <w:sz w:val="26"/>
          <w:szCs w:val="26"/>
        </w:rPr>
        <w:t xml:space="preserve"> The significant evolution in </w:t>
      </w:r>
      <w:r w:rsidR="00EA2485" w:rsidRPr="00DE3DAA">
        <w:rPr>
          <w:rFonts w:ascii="Times New Roman" w:eastAsia="바탕" w:hAnsi="Times New Roman" w:cs="Times New Roman"/>
          <w:sz w:val="26"/>
          <w:szCs w:val="26"/>
        </w:rPr>
        <w:t xml:space="preserve">this </w:t>
      </w:r>
      <w:proofErr w:type="spellStart"/>
      <w:r w:rsidR="00EA2485" w:rsidRPr="00DE3DAA">
        <w:rPr>
          <w:rFonts w:ascii="Times New Roman" w:eastAsia="바탕" w:hAnsi="Times New Roman" w:cs="Times New Roman"/>
          <w:sz w:val="26"/>
          <w:szCs w:val="26"/>
        </w:rPr>
        <w:t>programme</w:t>
      </w:r>
      <w:proofErr w:type="spellEnd"/>
      <w:r w:rsidR="00EA2485" w:rsidRPr="00DE3DAA">
        <w:rPr>
          <w:rFonts w:ascii="Times New Roman" w:eastAsia="바탕" w:hAnsi="Times New Roman" w:cs="Times New Roman"/>
          <w:sz w:val="26"/>
          <w:szCs w:val="26"/>
        </w:rPr>
        <w:t xml:space="preserve"> </w:t>
      </w:r>
      <w:r w:rsidR="00BF363E" w:rsidRPr="00DE3DAA">
        <w:rPr>
          <w:rFonts w:ascii="Times New Roman" w:eastAsia="바탕" w:hAnsi="Times New Roman" w:cs="Times New Roman"/>
          <w:sz w:val="26"/>
          <w:szCs w:val="26"/>
        </w:rPr>
        <w:t xml:space="preserve">of reform during the Major administration, indeed the stamp which </w:t>
      </w:r>
      <w:proofErr w:type="spellStart"/>
      <w:r w:rsidR="001E5041" w:rsidRPr="00DE3DAA">
        <w:rPr>
          <w:rFonts w:ascii="Times New Roman" w:eastAsia="바탕" w:hAnsi="Times New Roman" w:cs="Times New Roman"/>
          <w:sz w:val="26"/>
          <w:szCs w:val="26"/>
        </w:rPr>
        <w:t>Mr</w:t>
      </w:r>
      <w:proofErr w:type="spellEnd"/>
      <w:r w:rsidR="001E5041" w:rsidRPr="00DE3DAA">
        <w:rPr>
          <w:rFonts w:ascii="Times New Roman" w:eastAsia="바탕" w:hAnsi="Times New Roman" w:cs="Times New Roman"/>
          <w:sz w:val="26"/>
          <w:szCs w:val="26"/>
        </w:rPr>
        <w:t xml:space="preserve"> Major personally put upon it, consisted in its transformation into the form and discourse of the ‘Citizen’s Charter’, an initiative launched by the Prime Minister in the Citizen’s Charter White Paper of July 1991.</w:t>
      </w:r>
      <w:r w:rsidR="00ED61D0" w:rsidRPr="00DE3DAA">
        <w:rPr>
          <w:rStyle w:val="ae"/>
          <w:rFonts w:ascii="Times New Roman" w:eastAsia="바탕" w:hAnsi="Times New Roman" w:cs="Times New Roman"/>
          <w:sz w:val="26"/>
          <w:szCs w:val="26"/>
        </w:rPr>
        <w:footnoteReference w:id="353"/>
      </w:r>
      <w:r w:rsidR="009725F6" w:rsidRPr="00DE3DAA">
        <w:rPr>
          <w:rFonts w:ascii="Times New Roman" w:eastAsia="바탕" w:hAnsi="Times New Roman" w:cs="Times New Roman"/>
          <w:sz w:val="26"/>
          <w:szCs w:val="26"/>
        </w:rPr>
        <w:t xml:space="preserve"> </w:t>
      </w:r>
      <w:r w:rsidR="001E200A" w:rsidRPr="00DE3DAA">
        <w:rPr>
          <w:rFonts w:ascii="Times New Roman" w:eastAsia="바탕" w:hAnsi="Times New Roman" w:cs="Times New Roman"/>
          <w:sz w:val="26"/>
          <w:szCs w:val="26"/>
        </w:rPr>
        <w:t>It can be said that i</w:t>
      </w:r>
      <w:r w:rsidR="009725F6" w:rsidRPr="00DE3DAA">
        <w:rPr>
          <w:rFonts w:ascii="Times New Roman" w:eastAsia="바탕" w:hAnsi="Times New Roman" w:cs="Times New Roman"/>
          <w:sz w:val="26"/>
          <w:szCs w:val="26"/>
        </w:rPr>
        <w:t xml:space="preserve">n terms of the implications and effects for the law and governance of personal work relations in public service provision were </w:t>
      </w:r>
      <w:r w:rsidR="001E200A" w:rsidRPr="00DE3DAA">
        <w:rPr>
          <w:rFonts w:ascii="Times New Roman" w:eastAsia="바탕" w:hAnsi="Times New Roman" w:cs="Times New Roman"/>
          <w:sz w:val="26"/>
          <w:szCs w:val="26"/>
        </w:rPr>
        <w:t>quite significant.</w:t>
      </w:r>
      <w:r w:rsidR="00ED61D0" w:rsidRPr="00DE3DAA">
        <w:rPr>
          <w:rStyle w:val="ae"/>
          <w:rFonts w:ascii="Times New Roman" w:eastAsia="바탕" w:hAnsi="Times New Roman" w:cs="Times New Roman"/>
          <w:sz w:val="26"/>
          <w:szCs w:val="26"/>
        </w:rPr>
        <w:footnoteReference w:id="354"/>
      </w:r>
      <w:r w:rsidR="00EE6819" w:rsidRPr="00DE3DAA">
        <w:rPr>
          <w:rFonts w:ascii="Times New Roman" w:eastAsia="바탕" w:hAnsi="Times New Roman" w:cs="Times New Roman"/>
          <w:sz w:val="26"/>
          <w:szCs w:val="26"/>
        </w:rPr>
        <w:t xml:space="preserve"> </w:t>
      </w:r>
      <w:r w:rsidR="00041B92" w:rsidRPr="00DE3DAA">
        <w:rPr>
          <w:rFonts w:ascii="Times New Roman" w:eastAsia="바탕" w:hAnsi="Times New Roman" w:cs="Times New Roman"/>
          <w:sz w:val="26"/>
          <w:szCs w:val="26"/>
        </w:rPr>
        <w:t xml:space="preserve">One important legislative outcome of the Citizen’s Charter, in the field of the law relating to industrial action, was the </w:t>
      </w:r>
      <w:r w:rsidR="00041B92" w:rsidRPr="00DE3DAA">
        <w:rPr>
          <w:rFonts w:ascii="Times New Roman" w:eastAsia="바탕" w:hAnsi="Times New Roman" w:cs="Times New Roman"/>
          <w:sz w:val="26"/>
          <w:szCs w:val="26"/>
        </w:rPr>
        <w:lastRenderedPageBreak/>
        <w:t>introduction of a new ‘citizen’s right of action’ for an individual to seek an order restraining industrial action, which, as originally proposed in the Citizen’s Charter White Paper, would ha</w:t>
      </w:r>
      <w:r w:rsidR="008D2A9B" w:rsidRPr="00DE3DAA">
        <w:rPr>
          <w:rFonts w:ascii="Times New Roman" w:eastAsia="바탕" w:hAnsi="Times New Roman" w:cs="Times New Roman"/>
          <w:sz w:val="26"/>
          <w:szCs w:val="26"/>
        </w:rPr>
        <w:t>v</w:t>
      </w:r>
      <w:r w:rsidR="00041B92" w:rsidRPr="00DE3DAA">
        <w:rPr>
          <w:rFonts w:ascii="Times New Roman" w:eastAsia="바탕" w:hAnsi="Times New Roman" w:cs="Times New Roman"/>
          <w:sz w:val="26"/>
          <w:szCs w:val="26"/>
        </w:rPr>
        <w:t>e been directed at unlawful industrial action ‘affecting the services covered by the Citizen’s Charter’ but was, as eventually enacted in 1993</w:t>
      </w:r>
      <w:r w:rsidR="00ED61D0" w:rsidRPr="00DE3DAA">
        <w:rPr>
          <w:rStyle w:val="ae"/>
          <w:rFonts w:ascii="Times New Roman" w:eastAsia="바탕" w:hAnsi="Times New Roman" w:cs="Times New Roman"/>
          <w:sz w:val="26"/>
          <w:szCs w:val="26"/>
        </w:rPr>
        <w:footnoteReference w:id="355"/>
      </w:r>
      <w:r w:rsidR="00041B92" w:rsidRPr="00DE3DAA">
        <w:rPr>
          <w:rFonts w:ascii="Times New Roman" w:eastAsia="바탕" w:hAnsi="Times New Roman" w:cs="Times New Roman"/>
          <w:sz w:val="26"/>
          <w:szCs w:val="26"/>
        </w:rPr>
        <w:t xml:space="preserve">, </w:t>
      </w:r>
      <w:r w:rsidR="0028102F" w:rsidRPr="00DE3DAA">
        <w:rPr>
          <w:rFonts w:ascii="Times New Roman" w:eastAsia="바탕" w:hAnsi="Times New Roman" w:cs="Times New Roman"/>
          <w:sz w:val="26"/>
          <w:szCs w:val="26"/>
        </w:rPr>
        <w:t xml:space="preserve">capable of being sought against a wider range of industrial action threatening to prevent or delay the supply of or reduce the quality of goods or services supplied to the individual making the claim. </w:t>
      </w:r>
      <w:r w:rsidR="007D371D" w:rsidRPr="00DE3DAA">
        <w:rPr>
          <w:rFonts w:ascii="Times New Roman" w:eastAsia="바탕" w:hAnsi="Times New Roman" w:cs="Times New Roman"/>
          <w:sz w:val="26"/>
          <w:szCs w:val="26"/>
        </w:rPr>
        <w:t>The</w:t>
      </w:r>
      <w:r w:rsidR="006853C7" w:rsidRPr="00DE3DAA">
        <w:rPr>
          <w:rFonts w:ascii="Times New Roman" w:eastAsia="바탕" w:hAnsi="Times New Roman" w:cs="Times New Roman"/>
          <w:sz w:val="26"/>
          <w:szCs w:val="26"/>
        </w:rPr>
        <w:t xml:space="preserve"> more far-reaching</w:t>
      </w:r>
      <w:r w:rsidR="007D371D" w:rsidRPr="00DE3DAA">
        <w:rPr>
          <w:rFonts w:ascii="Times New Roman" w:eastAsia="바탕" w:hAnsi="Times New Roman" w:cs="Times New Roman"/>
          <w:sz w:val="26"/>
          <w:szCs w:val="26"/>
        </w:rPr>
        <w:t xml:space="preserve"> i</w:t>
      </w:r>
      <w:r w:rsidR="008C6F38" w:rsidRPr="00DE3DAA">
        <w:rPr>
          <w:rFonts w:ascii="Times New Roman" w:eastAsia="바탕" w:hAnsi="Times New Roman" w:cs="Times New Roman"/>
          <w:sz w:val="26"/>
          <w:szCs w:val="26"/>
        </w:rPr>
        <w:t>m</w:t>
      </w:r>
      <w:r w:rsidR="006853C7" w:rsidRPr="00DE3DAA">
        <w:rPr>
          <w:rFonts w:ascii="Times New Roman" w:eastAsia="바탕" w:hAnsi="Times New Roman" w:cs="Times New Roman"/>
          <w:sz w:val="26"/>
          <w:szCs w:val="26"/>
        </w:rPr>
        <w:t xml:space="preserve">pact </w:t>
      </w:r>
      <w:r w:rsidR="007D371D" w:rsidRPr="00DE3DAA">
        <w:rPr>
          <w:rFonts w:ascii="Times New Roman" w:eastAsia="바탕" w:hAnsi="Times New Roman" w:cs="Times New Roman"/>
          <w:sz w:val="26"/>
          <w:szCs w:val="26"/>
        </w:rPr>
        <w:t>was shown in</w:t>
      </w:r>
      <w:r w:rsidR="006853C7" w:rsidRPr="00DE3DAA">
        <w:rPr>
          <w:rFonts w:ascii="Times New Roman" w:eastAsia="바탕" w:hAnsi="Times New Roman" w:cs="Times New Roman"/>
          <w:sz w:val="26"/>
          <w:szCs w:val="26"/>
        </w:rPr>
        <w:t xml:space="preserve"> the</w:t>
      </w:r>
      <w:r w:rsidR="007D371D" w:rsidRPr="00DE3DAA">
        <w:rPr>
          <w:rFonts w:ascii="Times New Roman" w:eastAsia="바탕" w:hAnsi="Times New Roman" w:cs="Times New Roman"/>
          <w:sz w:val="26"/>
          <w:szCs w:val="26"/>
        </w:rPr>
        <w:t xml:space="preserve"> </w:t>
      </w:r>
      <w:r w:rsidR="006853C7" w:rsidRPr="00DE3DAA">
        <w:rPr>
          <w:rFonts w:ascii="Times New Roman" w:eastAsia="바탕" w:hAnsi="Times New Roman" w:cs="Times New Roman"/>
          <w:sz w:val="26"/>
          <w:szCs w:val="26"/>
        </w:rPr>
        <w:t xml:space="preserve">capacity of the Citizen’s Charter initiative to concentrate the </w:t>
      </w:r>
      <w:proofErr w:type="spellStart"/>
      <w:r w:rsidR="006853C7" w:rsidRPr="00DE3DAA">
        <w:rPr>
          <w:rFonts w:ascii="Times New Roman" w:eastAsia="바탕" w:hAnsi="Times New Roman" w:cs="Times New Roman"/>
          <w:sz w:val="26"/>
          <w:szCs w:val="26"/>
        </w:rPr>
        <w:t>programme</w:t>
      </w:r>
      <w:proofErr w:type="spellEnd"/>
      <w:r w:rsidR="006853C7" w:rsidRPr="00DE3DAA">
        <w:rPr>
          <w:rFonts w:ascii="Times New Roman" w:eastAsia="바탕" w:hAnsi="Times New Roman" w:cs="Times New Roman"/>
          <w:sz w:val="26"/>
          <w:szCs w:val="26"/>
        </w:rPr>
        <w:t xml:space="preserve"> of reform of public services upon the local delivery of those services, and thus upon the organization of personal work relations between the public service workers immediately </w:t>
      </w:r>
      <w:r w:rsidR="007D371D" w:rsidRPr="00DE3DAA">
        <w:rPr>
          <w:rFonts w:ascii="Times New Roman" w:eastAsia="바탕" w:hAnsi="Times New Roman" w:cs="Times New Roman"/>
          <w:sz w:val="26"/>
          <w:szCs w:val="26"/>
        </w:rPr>
        <w:t>engaged upon interaction with the users of public services and those who managed their work.</w:t>
      </w:r>
      <w:r w:rsidR="00ED61D0" w:rsidRPr="00DE3DAA">
        <w:rPr>
          <w:rStyle w:val="ae"/>
          <w:rFonts w:ascii="Times New Roman" w:eastAsia="바탕" w:hAnsi="Times New Roman" w:cs="Times New Roman"/>
          <w:sz w:val="26"/>
          <w:szCs w:val="26"/>
        </w:rPr>
        <w:footnoteReference w:id="356"/>
      </w:r>
      <w:r w:rsidR="00A84D2D" w:rsidRPr="00DE3DAA">
        <w:rPr>
          <w:rFonts w:ascii="Times New Roman" w:eastAsia="바탕" w:hAnsi="Times New Roman" w:cs="Times New Roman"/>
          <w:sz w:val="26"/>
          <w:szCs w:val="26"/>
        </w:rPr>
        <w:t xml:space="preserve"> </w:t>
      </w:r>
      <w:r w:rsidR="00D34A7B" w:rsidRPr="00DE3DAA">
        <w:rPr>
          <w:rFonts w:ascii="Times New Roman" w:eastAsia="바탕" w:hAnsi="Times New Roman" w:cs="Times New Roman"/>
          <w:sz w:val="26"/>
          <w:szCs w:val="26"/>
        </w:rPr>
        <w:t>The demand for</w:t>
      </w:r>
      <w:r w:rsidR="003B0A77" w:rsidRPr="00DE3DAA">
        <w:rPr>
          <w:rFonts w:ascii="Times New Roman" w:eastAsia="바탕" w:hAnsi="Times New Roman" w:cs="Times New Roman"/>
          <w:sz w:val="26"/>
          <w:szCs w:val="26"/>
        </w:rPr>
        <w:t xml:space="preserve"> managerial adaptability was focused upon the partly de-</w:t>
      </w:r>
      <w:proofErr w:type="spellStart"/>
      <w:r w:rsidR="003B0A77" w:rsidRPr="00DE3DAA">
        <w:rPr>
          <w:rFonts w:ascii="Times New Roman" w:eastAsia="바탕" w:hAnsi="Times New Roman" w:cs="Times New Roman"/>
          <w:sz w:val="26"/>
          <w:szCs w:val="26"/>
        </w:rPr>
        <w:t>centralised</w:t>
      </w:r>
      <w:proofErr w:type="spellEnd"/>
      <w:r w:rsidR="003B0A77" w:rsidRPr="00DE3DAA">
        <w:rPr>
          <w:rFonts w:ascii="Times New Roman" w:eastAsia="바탕" w:hAnsi="Times New Roman" w:cs="Times New Roman"/>
          <w:sz w:val="26"/>
          <w:szCs w:val="26"/>
        </w:rPr>
        <w:t xml:space="preserve"> management and conduct of units of service delivery.</w:t>
      </w:r>
      <w:r w:rsidR="00ED61D0" w:rsidRPr="00DE3DAA">
        <w:rPr>
          <w:rStyle w:val="ae"/>
          <w:rFonts w:ascii="Times New Roman" w:eastAsia="바탕" w:hAnsi="Times New Roman" w:cs="Times New Roman"/>
          <w:sz w:val="26"/>
          <w:szCs w:val="26"/>
        </w:rPr>
        <w:footnoteReference w:id="357"/>
      </w:r>
      <w:r w:rsidR="003B0A77" w:rsidRPr="00DE3DAA">
        <w:rPr>
          <w:rFonts w:ascii="Times New Roman" w:eastAsia="바탕" w:hAnsi="Times New Roman" w:cs="Times New Roman"/>
          <w:sz w:val="26"/>
          <w:szCs w:val="26"/>
        </w:rPr>
        <w:t xml:space="preserve"> </w:t>
      </w:r>
      <w:r w:rsidR="00D34A7B" w:rsidRPr="00DE3DAA">
        <w:rPr>
          <w:rFonts w:ascii="Times New Roman" w:eastAsia="바탕" w:hAnsi="Times New Roman" w:cs="Times New Roman"/>
          <w:sz w:val="26"/>
          <w:szCs w:val="26"/>
        </w:rPr>
        <w:t>In addition, that</w:t>
      </w:r>
      <w:r w:rsidR="00AF219C" w:rsidRPr="00DE3DAA">
        <w:rPr>
          <w:rFonts w:ascii="Times New Roman" w:eastAsia="바탕" w:hAnsi="Times New Roman" w:cs="Times New Roman"/>
          <w:sz w:val="26"/>
          <w:szCs w:val="26"/>
        </w:rPr>
        <w:t xml:space="preserve"> demand was strongly </w:t>
      </w:r>
      <w:r w:rsidR="00D34A7B" w:rsidRPr="00DE3DAA">
        <w:rPr>
          <w:rFonts w:ascii="Times New Roman" w:eastAsia="바탕" w:hAnsi="Times New Roman" w:cs="Times New Roman"/>
          <w:sz w:val="26"/>
          <w:szCs w:val="26"/>
        </w:rPr>
        <w:t xml:space="preserve">realized by </w:t>
      </w:r>
      <w:r w:rsidR="003B0A77" w:rsidRPr="00DE3DAA">
        <w:rPr>
          <w:rFonts w:ascii="Times New Roman" w:eastAsia="바탕" w:hAnsi="Times New Roman" w:cs="Times New Roman"/>
          <w:sz w:val="26"/>
          <w:szCs w:val="26"/>
        </w:rPr>
        <w:t>the imposition</w:t>
      </w:r>
      <w:r w:rsidR="00842DED" w:rsidRPr="00DE3DAA">
        <w:rPr>
          <w:rFonts w:ascii="Times New Roman" w:eastAsia="바탕" w:hAnsi="Times New Roman" w:cs="Times New Roman"/>
          <w:sz w:val="26"/>
          <w:szCs w:val="26"/>
        </w:rPr>
        <w:t xml:space="preserve"> of objectives and standards upon the work of local service delivery through which those at the higher levels of government and management could claim to be reflecting and </w:t>
      </w:r>
      <w:r w:rsidR="00D34A7B" w:rsidRPr="00DE3DAA">
        <w:rPr>
          <w:rFonts w:ascii="Times New Roman" w:eastAsia="바탕" w:hAnsi="Times New Roman" w:cs="Times New Roman"/>
          <w:sz w:val="26"/>
          <w:szCs w:val="26"/>
        </w:rPr>
        <w:t>v</w:t>
      </w:r>
      <w:r w:rsidR="00842DED" w:rsidRPr="00DE3DAA">
        <w:rPr>
          <w:rFonts w:ascii="Times New Roman" w:eastAsia="바탕" w:hAnsi="Times New Roman" w:cs="Times New Roman"/>
          <w:sz w:val="26"/>
          <w:szCs w:val="26"/>
        </w:rPr>
        <w:t>indicating the expectations of the citizen-users of the services and thus the citizenry in general</w:t>
      </w:r>
      <w:r w:rsidR="002563CE" w:rsidRPr="00DE3DAA">
        <w:rPr>
          <w:rFonts w:ascii="Times New Roman" w:eastAsia="바탕" w:hAnsi="Times New Roman" w:cs="Times New Roman"/>
          <w:sz w:val="26"/>
          <w:szCs w:val="26"/>
        </w:rPr>
        <w:t>.</w:t>
      </w:r>
      <w:r w:rsidR="00ED61D0" w:rsidRPr="00DE3DAA">
        <w:rPr>
          <w:rStyle w:val="ae"/>
          <w:rFonts w:ascii="Times New Roman" w:eastAsia="바탕" w:hAnsi="Times New Roman" w:cs="Times New Roman"/>
          <w:sz w:val="26"/>
          <w:szCs w:val="26"/>
        </w:rPr>
        <w:footnoteReference w:id="358"/>
      </w:r>
      <w:r w:rsidR="003B0A77" w:rsidRPr="00DE3DAA">
        <w:rPr>
          <w:rFonts w:ascii="Times New Roman" w:eastAsia="바탕" w:hAnsi="Times New Roman" w:cs="Times New Roman"/>
          <w:sz w:val="26"/>
          <w:szCs w:val="26"/>
        </w:rPr>
        <w:t xml:space="preserve"> </w:t>
      </w:r>
      <w:r w:rsidR="007177CD" w:rsidRPr="00DE3DAA">
        <w:rPr>
          <w:rFonts w:ascii="Times New Roman" w:eastAsia="바탕" w:hAnsi="Times New Roman" w:cs="Times New Roman"/>
          <w:sz w:val="26"/>
          <w:szCs w:val="26"/>
        </w:rPr>
        <w:t>Furthermore, t</w:t>
      </w:r>
      <w:r w:rsidR="00BB78D9" w:rsidRPr="00DE3DAA">
        <w:rPr>
          <w:rFonts w:ascii="Times New Roman" w:eastAsia="바탕" w:hAnsi="Times New Roman" w:cs="Times New Roman"/>
          <w:sz w:val="26"/>
          <w:szCs w:val="26"/>
        </w:rPr>
        <w:t xml:space="preserve">his discourse of vindication of the interests </w:t>
      </w:r>
      <w:r w:rsidR="007177CD" w:rsidRPr="00DE3DAA">
        <w:rPr>
          <w:rFonts w:ascii="Times New Roman" w:eastAsia="바탕" w:hAnsi="Times New Roman" w:cs="Times New Roman"/>
          <w:sz w:val="26"/>
          <w:szCs w:val="26"/>
        </w:rPr>
        <w:t xml:space="preserve">of citizens also legitimated an emphasis upon the </w:t>
      </w:r>
      <w:proofErr w:type="spellStart"/>
      <w:r w:rsidR="007177CD" w:rsidRPr="00DE3DAA">
        <w:rPr>
          <w:rFonts w:ascii="Times New Roman" w:eastAsia="바탕" w:hAnsi="Times New Roman" w:cs="Times New Roman"/>
          <w:sz w:val="26"/>
          <w:szCs w:val="26"/>
        </w:rPr>
        <w:t>incentivisation</w:t>
      </w:r>
      <w:proofErr w:type="spellEnd"/>
      <w:r w:rsidR="007177CD" w:rsidRPr="00DE3DAA">
        <w:rPr>
          <w:rFonts w:ascii="Times New Roman" w:eastAsia="바탕" w:hAnsi="Times New Roman" w:cs="Times New Roman"/>
          <w:sz w:val="26"/>
          <w:szCs w:val="26"/>
        </w:rPr>
        <w:t xml:space="preserve"> of workers and managers to serve those interests, and upon the importance of rewarding them as individuals, and as units of organization, according to the degree of success with which they did so.</w:t>
      </w:r>
      <w:r w:rsidR="007E2AB4" w:rsidRPr="00DE3DAA">
        <w:rPr>
          <w:rFonts w:ascii="Times New Roman" w:eastAsia="바탕" w:hAnsi="Times New Roman" w:cs="Times New Roman"/>
          <w:sz w:val="26"/>
          <w:szCs w:val="26"/>
        </w:rPr>
        <w:t xml:space="preserve"> This approach was discerned in the section on ‘Delivering Quality’ and more particularly in the passage on ‘Pay and Performance’ in the Citizen’s Charter White Paper where it was said that ‘Pay systems in the public sector need to make a regular and direct link between a person’s contribution to the standards of service provided and his or her reward.</w:t>
      </w:r>
      <w:r w:rsidR="00ED61D0" w:rsidRPr="00DE3DAA">
        <w:rPr>
          <w:rStyle w:val="ae"/>
          <w:rFonts w:ascii="Times New Roman" w:eastAsia="바탕" w:hAnsi="Times New Roman" w:cs="Times New Roman"/>
          <w:sz w:val="26"/>
          <w:szCs w:val="26"/>
        </w:rPr>
        <w:footnoteReference w:id="359"/>
      </w:r>
      <w:r w:rsidR="00F54914" w:rsidRPr="00DE3DAA">
        <w:rPr>
          <w:rFonts w:ascii="Times New Roman" w:eastAsia="바탕" w:hAnsi="Times New Roman" w:cs="Times New Roman"/>
          <w:sz w:val="26"/>
          <w:szCs w:val="26"/>
        </w:rPr>
        <w:t xml:space="preserve"> The Treasury issued </w:t>
      </w:r>
      <w:r w:rsidR="00F54914" w:rsidRPr="00DE3DAA">
        <w:rPr>
          <w:rFonts w:ascii="Times New Roman" w:eastAsia="바탕" w:hAnsi="Times New Roman" w:cs="Times New Roman"/>
          <w:sz w:val="26"/>
          <w:szCs w:val="26"/>
        </w:rPr>
        <w:lastRenderedPageBreak/>
        <w:t>early in 1992 the highly significant White Paper Competing for Quality,</w:t>
      </w:r>
      <w:r w:rsidR="00ED61D0" w:rsidRPr="00DE3DAA">
        <w:rPr>
          <w:rStyle w:val="ae"/>
          <w:rFonts w:ascii="Times New Roman" w:eastAsia="바탕" w:hAnsi="Times New Roman" w:cs="Times New Roman"/>
          <w:sz w:val="26"/>
          <w:szCs w:val="26"/>
        </w:rPr>
        <w:footnoteReference w:id="360"/>
      </w:r>
      <w:r w:rsidR="002632AB" w:rsidRPr="00DE3DAA">
        <w:rPr>
          <w:rFonts w:ascii="Times New Roman" w:eastAsia="바탕" w:hAnsi="Times New Roman" w:cs="Times New Roman"/>
          <w:sz w:val="26"/>
          <w:szCs w:val="26"/>
        </w:rPr>
        <w:t xml:space="preserve"> that made proposals for the extension of competition in the public sector by means of further contracting out and market testing.</w:t>
      </w:r>
      <w:r w:rsidR="00D57719" w:rsidRPr="00DE3DAA">
        <w:rPr>
          <w:rFonts w:ascii="Times New Roman" w:eastAsia="바탕" w:hAnsi="Times New Roman" w:cs="Times New Roman"/>
          <w:sz w:val="26"/>
          <w:szCs w:val="26"/>
        </w:rPr>
        <w:t xml:space="preserve"> The Citizen’s Charter initiative was to progress beyond its co-optation of the Next Steps </w:t>
      </w:r>
      <w:proofErr w:type="spellStart"/>
      <w:r w:rsidR="00D57719" w:rsidRPr="00DE3DAA">
        <w:rPr>
          <w:rFonts w:ascii="Times New Roman" w:eastAsia="바탕" w:hAnsi="Times New Roman" w:cs="Times New Roman"/>
          <w:sz w:val="26"/>
          <w:szCs w:val="26"/>
        </w:rPr>
        <w:t>programme</w:t>
      </w:r>
      <w:proofErr w:type="spellEnd"/>
      <w:r w:rsidR="00D57719" w:rsidRPr="00DE3DAA">
        <w:rPr>
          <w:rFonts w:ascii="Times New Roman" w:eastAsia="바탕" w:hAnsi="Times New Roman" w:cs="Times New Roman"/>
          <w:sz w:val="26"/>
          <w:szCs w:val="26"/>
        </w:rPr>
        <w:t xml:space="preserve">, and to take its </w:t>
      </w:r>
      <w:proofErr w:type="gramStart"/>
      <w:r w:rsidR="00D57719" w:rsidRPr="00DE3DAA">
        <w:rPr>
          <w:rFonts w:ascii="Times New Roman" w:eastAsia="바탕" w:hAnsi="Times New Roman" w:cs="Times New Roman"/>
          <w:sz w:val="26"/>
          <w:szCs w:val="26"/>
        </w:rPr>
        <w:t>particular approach</w:t>
      </w:r>
      <w:proofErr w:type="gramEnd"/>
      <w:r w:rsidR="00D57719" w:rsidRPr="00DE3DAA">
        <w:rPr>
          <w:rFonts w:ascii="Times New Roman" w:eastAsia="바탕" w:hAnsi="Times New Roman" w:cs="Times New Roman"/>
          <w:sz w:val="26"/>
          <w:szCs w:val="26"/>
        </w:rPr>
        <w:t xml:space="preserve"> to the organization and running of public services right into the heart of the Civil Service. This was accomplished by the White Paper The Civil Service Continuity and Change,</w:t>
      </w:r>
      <w:r w:rsidR="00ED61D0" w:rsidRPr="00DE3DAA">
        <w:rPr>
          <w:rStyle w:val="ae"/>
          <w:rFonts w:ascii="Times New Roman" w:eastAsia="바탕" w:hAnsi="Times New Roman" w:cs="Times New Roman"/>
          <w:sz w:val="26"/>
          <w:szCs w:val="26"/>
        </w:rPr>
        <w:footnoteReference w:id="361"/>
      </w:r>
      <w:r w:rsidR="00D57719" w:rsidRPr="00DE3DAA">
        <w:rPr>
          <w:rFonts w:ascii="Times New Roman" w:eastAsia="바탕" w:hAnsi="Times New Roman" w:cs="Times New Roman"/>
          <w:sz w:val="26"/>
          <w:szCs w:val="26"/>
        </w:rPr>
        <w:t xml:space="preserve"> where it was announced that ‘The Government believes that delegation of further management flexibility is the key to improved performance, within the framework of clear standards of service and output targets under the Citizen’s Charter and continued tight control of the costs of running the Civil Service.’</w:t>
      </w:r>
      <w:r w:rsidR="00ED61D0" w:rsidRPr="00DE3DAA">
        <w:rPr>
          <w:rStyle w:val="ae"/>
          <w:rFonts w:ascii="Times New Roman" w:eastAsia="바탕" w:hAnsi="Times New Roman" w:cs="Times New Roman"/>
          <w:sz w:val="26"/>
          <w:szCs w:val="26"/>
        </w:rPr>
        <w:footnoteReference w:id="362"/>
      </w:r>
      <w:r w:rsidR="00A768E5" w:rsidRPr="00DE3DAA">
        <w:rPr>
          <w:rFonts w:ascii="Times New Roman" w:eastAsia="바탕" w:hAnsi="Times New Roman" w:cs="Times New Roman"/>
          <w:sz w:val="26"/>
          <w:szCs w:val="26"/>
        </w:rPr>
        <w:t xml:space="preserve"> The major practical outcome of this White Paper was a set of moves towards placing members of the Senior Civil Service on formal written contracts of employment, and into a more flexible pay system with pay ranges within which progress of individuals would be linked to their performance.</w:t>
      </w:r>
      <w:r w:rsidR="00ED61D0" w:rsidRPr="00DE3DAA">
        <w:rPr>
          <w:rStyle w:val="ae"/>
          <w:rFonts w:ascii="Times New Roman" w:eastAsia="바탕" w:hAnsi="Times New Roman" w:cs="Times New Roman"/>
          <w:sz w:val="26"/>
          <w:szCs w:val="26"/>
        </w:rPr>
        <w:footnoteReference w:id="363"/>
      </w:r>
    </w:p>
    <w:p w14:paraId="71BDBEF6" w14:textId="14D6E9C4" w:rsidR="001B5E72" w:rsidRPr="00DE3DAA" w:rsidRDefault="001B5E72" w:rsidP="001B5E72">
      <w:pPr>
        <w:pStyle w:val="a3"/>
        <w:numPr>
          <w:ilvl w:val="0"/>
          <w:numId w:val="19"/>
        </w:numPr>
        <w:ind w:leftChars="0"/>
        <w:rPr>
          <w:rFonts w:ascii="Times New Roman" w:hAnsi="Times New Roman" w:cs="Times New Roman"/>
          <w:sz w:val="26"/>
          <w:szCs w:val="26"/>
        </w:rPr>
      </w:pPr>
      <w:bookmarkStart w:id="6" w:name="_Hlk521251515"/>
      <w:r w:rsidRPr="00DE3DAA">
        <w:rPr>
          <w:rFonts w:ascii="Times New Roman" w:hAnsi="Times New Roman" w:cs="Times New Roman"/>
          <w:sz w:val="26"/>
          <w:szCs w:val="26"/>
        </w:rPr>
        <w:t>Regulation of personal work relations under the Blair administration, 1997-2001</w:t>
      </w:r>
    </w:p>
    <w:bookmarkEnd w:id="6"/>
    <w:p w14:paraId="68896DE6" w14:textId="15733876" w:rsidR="002632AB" w:rsidRPr="00DE3DAA" w:rsidRDefault="002632AB" w:rsidP="00F04349">
      <w:pPr>
        <w:pStyle w:val="a3"/>
        <w:ind w:leftChars="0" w:left="1520"/>
        <w:rPr>
          <w:rFonts w:ascii="Times New Roman" w:eastAsia="바탕" w:hAnsi="Times New Roman" w:cs="Times New Roman"/>
          <w:sz w:val="26"/>
          <w:szCs w:val="26"/>
        </w:rPr>
      </w:pPr>
    </w:p>
    <w:p w14:paraId="0049BB52" w14:textId="2B01EDDA" w:rsidR="00A32881" w:rsidRPr="00DE3DAA" w:rsidRDefault="00500464" w:rsidP="00F04349">
      <w:pPr>
        <w:pStyle w:val="a3"/>
        <w:ind w:leftChars="0" w:left="1520"/>
        <w:rPr>
          <w:rFonts w:ascii="Times New Roman" w:eastAsia="바탕" w:hAnsi="Times New Roman" w:cs="Times New Roman"/>
          <w:sz w:val="26"/>
          <w:szCs w:val="26"/>
        </w:rPr>
      </w:pPr>
      <w:r w:rsidRPr="00DE3DAA">
        <w:rPr>
          <w:rFonts w:ascii="Times New Roman" w:eastAsia="바탕" w:hAnsi="Times New Roman" w:cs="Times New Roman"/>
          <w:sz w:val="26"/>
          <w:szCs w:val="26"/>
        </w:rPr>
        <w:t>The focal point for the identification of the policy discourse is the White Paper Fairness at Work, presented by the Department of Trade and Industry in May 1998,</w:t>
      </w:r>
      <w:r w:rsidR="00ED61D0" w:rsidRPr="00DE3DAA">
        <w:rPr>
          <w:rStyle w:val="ae"/>
          <w:rFonts w:ascii="Times New Roman" w:eastAsia="바탕" w:hAnsi="Times New Roman" w:cs="Times New Roman"/>
          <w:sz w:val="26"/>
          <w:szCs w:val="26"/>
        </w:rPr>
        <w:footnoteReference w:id="364"/>
      </w:r>
      <w:r w:rsidR="00CC5EC5" w:rsidRPr="00DE3DAA">
        <w:rPr>
          <w:rFonts w:ascii="Times New Roman" w:eastAsia="바탕" w:hAnsi="Times New Roman" w:cs="Times New Roman"/>
          <w:sz w:val="26"/>
          <w:szCs w:val="26"/>
        </w:rPr>
        <w:t xml:space="preserve"> in which the government set out its approach to, and </w:t>
      </w:r>
      <w:proofErr w:type="spellStart"/>
      <w:r w:rsidR="00CC5EC5" w:rsidRPr="00DE3DAA">
        <w:rPr>
          <w:rFonts w:ascii="Times New Roman" w:eastAsia="바탕" w:hAnsi="Times New Roman" w:cs="Times New Roman"/>
          <w:sz w:val="26"/>
          <w:szCs w:val="26"/>
        </w:rPr>
        <w:t>programme</w:t>
      </w:r>
      <w:proofErr w:type="spellEnd"/>
      <w:r w:rsidR="00CC5EC5" w:rsidRPr="00DE3DAA">
        <w:rPr>
          <w:rFonts w:ascii="Times New Roman" w:eastAsia="바탕" w:hAnsi="Times New Roman" w:cs="Times New Roman"/>
          <w:sz w:val="26"/>
          <w:szCs w:val="26"/>
        </w:rPr>
        <w:t xml:space="preserve"> for, employment law </w:t>
      </w:r>
      <w:r w:rsidR="00475CF2" w:rsidRPr="00DE3DAA">
        <w:rPr>
          <w:rFonts w:ascii="Times New Roman" w:eastAsia="바탕" w:hAnsi="Times New Roman" w:cs="Times New Roman"/>
          <w:sz w:val="26"/>
          <w:szCs w:val="26"/>
        </w:rPr>
        <w:t xml:space="preserve">in </w:t>
      </w:r>
      <w:r w:rsidR="00CC5EC5" w:rsidRPr="00DE3DAA">
        <w:rPr>
          <w:rFonts w:ascii="Times New Roman" w:eastAsia="바탕" w:hAnsi="Times New Roman" w:cs="Times New Roman"/>
          <w:sz w:val="26"/>
          <w:szCs w:val="26"/>
        </w:rPr>
        <w:t>the ensuing years.</w:t>
      </w:r>
      <w:r w:rsidR="00475CF2" w:rsidRPr="00DE3DAA">
        <w:rPr>
          <w:rFonts w:ascii="Times New Roman" w:eastAsia="바탕" w:hAnsi="Times New Roman" w:cs="Times New Roman"/>
          <w:sz w:val="26"/>
          <w:szCs w:val="26"/>
        </w:rPr>
        <w:t xml:space="preserve"> That policy document was known to largely set out the particular measures which were taken or debated during that period of government.</w:t>
      </w:r>
      <w:r w:rsidR="00ED61D0" w:rsidRPr="00DE3DAA">
        <w:rPr>
          <w:rStyle w:val="ae"/>
          <w:rFonts w:ascii="Times New Roman" w:eastAsia="바탕" w:hAnsi="Times New Roman" w:cs="Times New Roman"/>
          <w:sz w:val="26"/>
          <w:szCs w:val="26"/>
        </w:rPr>
        <w:footnoteReference w:id="365"/>
      </w:r>
      <w:r w:rsidR="00A35B42" w:rsidRPr="00DE3DAA">
        <w:rPr>
          <w:rFonts w:ascii="Times New Roman" w:eastAsia="바탕" w:hAnsi="Times New Roman" w:cs="Times New Roman"/>
          <w:sz w:val="26"/>
          <w:szCs w:val="26"/>
        </w:rPr>
        <w:t xml:space="preserve"> In addition, there are two other policy documents which should be regarded as representing significant components in the policy </w:t>
      </w:r>
      <w:r w:rsidR="00A35B42" w:rsidRPr="00DE3DAA">
        <w:rPr>
          <w:rFonts w:ascii="Times New Roman" w:eastAsia="바탕" w:hAnsi="Times New Roman" w:cs="Times New Roman"/>
          <w:sz w:val="26"/>
          <w:szCs w:val="26"/>
        </w:rPr>
        <w:lastRenderedPageBreak/>
        <w:t>framework for the regulation of personal work relations during this period.</w:t>
      </w:r>
      <w:r w:rsidR="00ED61D0" w:rsidRPr="00DE3DAA">
        <w:rPr>
          <w:rStyle w:val="ae"/>
          <w:rFonts w:ascii="Times New Roman" w:eastAsia="바탕" w:hAnsi="Times New Roman" w:cs="Times New Roman"/>
          <w:sz w:val="26"/>
          <w:szCs w:val="26"/>
        </w:rPr>
        <w:footnoteReference w:id="366"/>
      </w:r>
      <w:r w:rsidR="00A35B42" w:rsidRPr="00DE3DAA">
        <w:rPr>
          <w:rFonts w:ascii="Times New Roman" w:eastAsia="바탕" w:hAnsi="Times New Roman" w:cs="Times New Roman"/>
          <w:sz w:val="26"/>
          <w:szCs w:val="26"/>
        </w:rPr>
        <w:t xml:space="preserve"> One of these, the Department of Trade and Industry White Paper, </w:t>
      </w:r>
      <w:r w:rsidR="00A35B42" w:rsidRPr="00DE3DAA">
        <w:rPr>
          <w:rFonts w:ascii="Times New Roman" w:eastAsia="바탕" w:hAnsi="Times New Roman" w:cs="Times New Roman"/>
          <w:i/>
          <w:sz w:val="26"/>
          <w:szCs w:val="26"/>
        </w:rPr>
        <w:t>Our Competitive Future: Building the Knowledge Driven Economy</w:t>
      </w:r>
      <w:r w:rsidR="00A35B42" w:rsidRPr="00DE3DAA">
        <w:rPr>
          <w:rFonts w:ascii="Times New Roman" w:eastAsia="바탕" w:hAnsi="Times New Roman" w:cs="Times New Roman"/>
          <w:sz w:val="26"/>
          <w:szCs w:val="26"/>
        </w:rPr>
        <w:t>,</w:t>
      </w:r>
      <w:r w:rsidR="00ED61D0" w:rsidRPr="00DE3DAA">
        <w:rPr>
          <w:rStyle w:val="ae"/>
          <w:rFonts w:ascii="Times New Roman" w:eastAsia="바탕" w:hAnsi="Times New Roman" w:cs="Times New Roman"/>
          <w:sz w:val="26"/>
          <w:szCs w:val="26"/>
        </w:rPr>
        <w:footnoteReference w:id="367"/>
      </w:r>
      <w:r w:rsidR="00A35B42" w:rsidRPr="00DE3DAA">
        <w:rPr>
          <w:rFonts w:ascii="Times New Roman" w:eastAsia="바탕" w:hAnsi="Times New Roman" w:cs="Times New Roman"/>
          <w:sz w:val="26"/>
          <w:szCs w:val="26"/>
        </w:rPr>
        <w:t xml:space="preserve"> provides some significant insights into the objectives of the government of the day for the direction of the development of personal work relations in general, while the other</w:t>
      </w:r>
      <w:r w:rsidR="005069C7" w:rsidRPr="00DE3DAA">
        <w:rPr>
          <w:rFonts w:ascii="Times New Roman" w:eastAsia="바탕" w:hAnsi="Times New Roman" w:cs="Times New Roman"/>
          <w:sz w:val="26"/>
          <w:szCs w:val="26"/>
        </w:rPr>
        <w:t xml:space="preserve">, the Prime Minister’s White Paper, </w:t>
      </w:r>
      <w:proofErr w:type="spellStart"/>
      <w:r w:rsidR="005069C7" w:rsidRPr="00DE3DAA">
        <w:rPr>
          <w:rFonts w:ascii="Times New Roman" w:eastAsia="바탕" w:hAnsi="Times New Roman" w:cs="Times New Roman"/>
          <w:i/>
          <w:sz w:val="26"/>
          <w:szCs w:val="26"/>
        </w:rPr>
        <w:t>Modernising</w:t>
      </w:r>
      <w:proofErr w:type="spellEnd"/>
      <w:r w:rsidR="005069C7" w:rsidRPr="00DE3DAA">
        <w:rPr>
          <w:rFonts w:ascii="Times New Roman" w:eastAsia="바탕" w:hAnsi="Times New Roman" w:cs="Times New Roman"/>
          <w:i/>
          <w:sz w:val="26"/>
          <w:szCs w:val="26"/>
        </w:rPr>
        <w:t xml:space="preserve"> Government,</w:t>
      </w:r>
      <w:r w:rsidR="00ED61D0" w:rsidRPr="00DE3DAA">
        <w:rPr>
          <w:rStyle w:val="ae"/>
          <w:rFonts w:ascii="Times New Roman" w:eastAsia="바탕" w:hAnsi="Times New Roman" w:cs="Times New Roman"/>
          <w:i/>
          <w:sz w:val="26"/>
          <w:szCs w:val="26"/>
        </w:rPr>
        <w:footnoteReference w:id="368"/>
      </w:r>
      <w:r w:rsidR="007519E6" w:rsidRPr="00DE3DAA">
        <w:rPr>
          <w:rFonts w:ascii="Times New Roman" w:eastAsia="바탕" w:hAnsi="Times New Roman" w:cs="Times New Roman"/>
          <w:sz w:val="26"/>
          <w:szCs w:val="26"/>
        </w:rPr>
        <w:t xml:space="preserve"> </w:t>
      </w:r>
      <w:r w:rsidR="00B71AF1" w:rsidRPr="00DE3DAA">
        <w:rPr>
          <w:rFonts w:ascii="Times New Roman" w:eastAsia="바탕" w:hAnsi="Times New Roman" w:cs="Times New Roman"/>
          <w:sz w:val="26"/>
          <w:szCs w:val="26"/>
        </w:rPr>
        <w:t xml:space="preserve">indicates </w:t>
      </w:r>
      <w:r w:rsidR="007519E6" w:rsidRPr="00DE3DAA">
        <w:rPr>
          <w:rFonts w:ascii="Times New Roman" w:eastAsia="바탕" w:hAnsi="Times New Roman" w:cs="Times New Roman"/>
          <w:sz w:val="26"/>
          <w:szCs w:val="26"/>
        </w:rPr>
        <w:t>the government’s ambitions for their development in the particular public service provision</w:t>
      </w:r>
      <w:r w:rsidR="00A92560" w:rsidRPr="00DE3DAA">
        <w:rPr>
          <w:rFonts w:ascii="Times New Roman" w:eastAsia="바탕" w:hAnsi="Times New Roman" w:cs="Times New Roman"/>
          <w:sz w:val="26"/>
          <w:szCs w:val="26"/>
        </w:rPr>
        <w:t xml:space="preserve"> sphere</w:t>
      </w:r>
      <w:r w:rsidR="007519E6" w:rsidRPr="00DE3DAA">
        <w:rPr>
          <w:rFonts w:ascii="Times New Roman" w:eastAsia="바탕" w:hAnsi="Times New Roman" w:cs="Times New Roman"/>
          <w:sz w:val="26"/>
          <w:szCs w:val="26"/>
        </w:rPr>
        <w:t xml:space="preserve">. </w:t>
      </w:r>
      <w:r w:rsidR="00A92560" w:rsidRPr="00DE3DAA">
        <w:rPr>
          <w:rFonts w:ascii="Times New Roman" w:eastAsia="바탕" w:hAnsi="Times New Roman" w:cs="Times New Roman"/>
          <w:sz w:val="26"/>
          <w:szCs w:val="26"/>
        </w:rPr>
        <w:t xml:space="preserve">The </w:t>
      </w:r>
      <w:r w:rsidR="00A92560" w:rsidRPr="00DE3DAA">
        <w:rPr>
          <w:rFonts w:ascii="Times New Roman" w:eastAsia="바탕" w:hAnsi="Times New Roman" w:cs="Times New Roman"/>
          <w:i/>
          <w:sz w:val="26"/>
          <w:szCs w:val="26"/>
        </w:rPr>
        <w:t xml:space="preserve">Competitive Future </w:t>
      </w:r>
      <w:r w:rsidR="00A92560" w:rsidRPr="00DE3DAA">
        <w:rPr>
          <w:rFonts w:ascii="Times New Roman" w:eastAsia="바탕" w:hAnsi="Times New Roman" w:cs="Times New Roman"/>
          <w:sz w:val="26"/>
          <w:szCs w:val="26"/>
        </w:rPr>
        <w:t>White Paper articulates the government’s ideal or objective for the development of personal work relations.</w:t>
      </w:r>
      <w:r w:rsidR="00903519" w:rsidRPr="00DE3DAA">
        <w:rPr>
          <w:rStyle w:val="ae"/>
          <w:rFonts w:ascii="Times New Roman" w:eastAsia="바탕" w:hAnsi="Times New Roman" w:cs="Times New Roman"/>
          <w:sz w:val="26"/>
          <w:szCs w:val="26"/>
        </w:rPr>
        <w:footnoteReference w:id="369"/>
      </w:r>
      <w:r w:rsidR="00112D62" w:rsidRPr="00DE3DAA">
        <w:rPr>
          <w:rFonts w:ascii="Times New Roman" w:eastAsia="바탕" w:hAnsi="Times New Roman" w:cs="Times New Roman"/>
          <w:sz w:val="26"/>
          <w:szCs w:val="26"/>
        </w:rPr>
        <w:t xml:space="preserve"> </w:t>
      </w:r>
      <w:r w:rsidR="00046C43" w:rsidRPr="00DE3DAA">
        <w:rPr>
          <w:rFonts w:ascii="Times New Roman" w:eastAsia="바탕" w:hAnsi="Times New Roman" w:cs="Times New Roman"/>
          <w:sz w:val="26"/>
          <w:szCs w:val="26"/>
        </w:rPr>
        <w:t xml:space="preserve">This was realized by Hugh Collins and </w:t>
      </w:r>
      <w:r w:rsidR="0053410F" w:rsidRPr="00DE3DAA">
        <w:rPr>
          <w:rFonts w:ascii="Times New Roman" w:eastAsia="바탕" w:hAnsi="Times New Roman" w:cs="Times New Roman"/>
          <w:sz w:val="26"/>
          <w:szCs w:val="26"/>
        </w:rPr>
        <w:t>elaborated</w:t>
      </w:r>
      <w:r w:rsidR="00046C43" w:rsidRPr="00DE3DAA">
        <w:rPr>
          <w:rFonts w:ascii="Times New Roman" w:eastAsia="바탕" w:hAnsi="Times New Roman" w:cs="Times New Roman"/>
          <w:sz w:val="26"/>
          <w:szCs w:val="26"/>
        </w:rPr>
        <w:t xml:space="preserve"> by him in a highly perceptive article published in 2001</w:t>
      </w:r>
      <w:r w:rsidR="0053410F" w:rsidRPr="00DE3DAA">
        <w:rPr>
          <w:rFonts w:ascii="Times New Roman" w:eastAsia="바탕" w:hAnsi="Times New Roman" w:cs="Times New Roman"/>
          <w:sz w:val="26"/>
          <w:szCs w:val="26"/>
        </w:rPr>
        <w:t>.</w:t>
      </w:r>
      <w:r w:rsidR="00903519" w:rsidRPr="00DE3DAA">
        <w:rPr>
          <w:rStyle w:val="ae"/>
          <w:rFonts w:ascii="Times New Roman" w:eastAsia="바탕" w:hAnsi="Times New Roman" w:cs="Times New Roman"/>
          <w:sz w:val="26"/>
          <w:szCs w:val="26"/>
        </w:rPr>
        <w:footnoteReference w:id="370"/>
      </w:r>
      <w:r w:rsidR="0053410F" w:rsidRPr="00DE3DAA">
        <w:rPr>
          <w:rFonts w:ascii="Times New Roman" w:eastAsia="바탕" w:hAnsi="Times New Roman" w:cs="Times New Roman"/>
          <w:sz w:val="26"/>
          <w:szCs w:val="26"/>
        </w:rPr>
        <w:t xml:space="preserve"> He explains how the government had embarked upon an enterprise of ‘regulating the employment relation for competitiveness’ and </w:t>
      </w:r>
      <w:r w:rsidR="00D3229B" w:rsidRPr="00DE3DAA">
        <w:rPr>
          <w:rFonts w:ascii="Times New Roman" w:eastAsia="바탕" w:hAnsi="Times New Roman" w:cs="Times New Roman"/>
          <w:sz w:val="26"/>
          <w:szCs w:val="26"/>
        </w:rPr>
        <w:t>pursued</w:t>
      </w:r>
      <w:r w:rsidR="0053410F" w:rsidRPr="00DE3DAA">
        <w:rPr>
          <w:rFonts w:ascii="Times New Roman" w:eastAsia="바탕" w:hAnsi="Times New Roman" w:cs="Times New Roman"/>
          <w:sz w:val="26"/>
          <w:szCs w:val="26"/>
        </w:rPr>
        <w:t xml:space="preserve"> to carry out that function by fostering ‘flexible work relations’</w:t>
      </w:r>
      <w:r w:rsidR="00D3229B" w:rsidRPr="00DE3DAA">
        <w:rPr>
          <w:rFonts w:ascii="Times New Roman" w:eastAsia="바탕" w:hAnsi="Times New Roman" w:cs="Times New Roman"/>
          <w:sz w:val="26"/>
          <w:szCs w:val="26"/>
        </w:rPr>
        <w:t xml:space="preserve"> which is closely corresponding to the</w:t>
      </w:r>
      <w:r w:rsidR="0053410F" w:rsidRPr="00DE3DAA">
        <w:rPr>
          <w:rFonts w:ascii="Times New Roman" w:eastAsia="바탕" w:hAnsi="Times New Roman" w:cs="Times New Roman"/>
          <w:sz w:val="26"/>
          <w:szCs w:val="26"/>
        </w:rPr>
        <w:t xml:space="preserve"> objective </w:t>
      </w:r>
      <w:r w:rsidR="00D3229B" w:rsidRPr="00DE3DAA">
        <w:rPr>
          <w:rFonts w:ascii="Times New Roman" w:eastAsia="바탕" w:hAnsi="Times New Roman" w:cs="Times New Roman"/>
          <w:sz w:val="26"/>
          <w:szCs w:val="26"/>
        </w:rPr>
        <w:t>identified as that of ‘</w:t>
      </w:r>
      <w:r w:rsidR="0053410F" w:rsidRPr="00DE3DAA">
        <w:rPr>
          <w:rFonts w:ascii="Times New Roman" w:eastAsia="바탕" w:hAnsi="Times New Roman" w:cs="Times New Roman"/>
          <w:sz w:val="26"/>
          <w:szCs w:val="26"/>
        </w:rPr>
        <w:t>managerial adaptability’.</w:t>
      </w:r>
      <w:r w:rsidR="00903519" w:rsidRPr="00DE3DAA">
        <w:rPr>
          <w:rStyle w:val="ae"/>
          <w:rFonts w:ascii="Times New Roman" w:eastAsia="바탕" w:hAnsi="Times New Roman" w:cs="Times New Roman"/>
          <w:sz w:val="26"/>
          <w:szCs w:val="26"/>
        </w:rPr>
        <w:footnoteReference w:id="371"/>
      </w:r>
      <w:r w:rsidR="00D3229B" w:rsidRPr="00DE3DAA">
        <w:rPr>
          <w:rFonts w:ascii="Times New Roman" w:eastAsia="바탕" w:hAnsi="Times New Roman" w:cs="Times New Roman"/>
          <w:sz w:val="26"/>
          <w:szCs w:val="26"/>
        </w:rPr>
        <w:t xml:space="preserve"> </w:t>
      </w:r>
      <w:r w:rsidR="00F608C6" w:rsidRPr="00DE3DAA">
        <w:rPr>
          <w:rFonts w:ascii="Times New Roman" w:eastAsia="바탕" w:hAnsi="Times New Roman" w:cs="Times New Roman"/>
          <w:sz w:val="26"/>
          <w:szCs w:val="26"/>
        </w:rPr>
        <w:t xml:space="preserve">He was concerned and made considerable achievement by </w:t>
      </w:r>
      <w:r w:rsidR="00D3229B" w:rsidRPr="00DE3DAA">
        <w:rPr>
          <w:rFonts w:ascii="Times New Roman" w:eastAsia="바탕" w:hAnsi="Times New Roman" w:cs="Times New Roman"/>
          <w:sz w:val="26"/>
          <w:szCs w:val="26"/>
        </w:rPr>
        <w:t>offer</w:t>
      </w:r>
      <w:r w:rsidR="00F608C6" w:rsidRPr="00DE3DAA">
        <w:rPr>
          <w:rFonts w:ascii="Times New Roman" w:eastAsia="바탕" w:hAnsi="Times New Roman" w:cs="Times New Roman"/>
          <w:sz w:val="26"/>
          <w:szCs w:val="26"/>
        </w:rPr>
        <w:t>ing</w:t>
      </w:r>
      <w:r w:rsidR="00D3229B" w:rsidRPr="00DE3DAA">
        <w:rPr>
          <w:rFonts w:ascii="Times New Roman" w:eastAsia="바탕" w:hAnsi="Times New Roman" w:cs="Times New Roman"/>
          <w:sz w:val="26"/>
          <w:szCs w:val="26"/>
        </w:rPr>
        <w:t xml:space="preserve"> a normative exposition of a coherent theory of ‘regulation for competitiveness’ and of ‘flexible work relations’, rather than </w:t>
      </w:r>
      <w:r w:rsidR="00F608C6" w:rsidRPr="00DE3DAA">
        <w:rPr>
          <w:rFonts w:ascii="Times New Roman" w:eastAsia="바탕" w:hAnsi="Times New Roman" w:cs="Times New Roman"/>
          <w:sz w:val="26"/>
          <w:szCs w:val="26"/>
        </w:rPr>
        <w:t>identifying</w:t>
      </w:r>
      <w:r w:rsidR="00D3229B" w:rsidRPr="00DE3DAA">
        <w:rPr>
          <w:rFonts w:ascii="Times New Roman" w:eastAsia="바탕" w:hAnsi="Times New Roman" w:cs="Times New Roman"/>
          <w:sz w:val="26"/>
          <w:szCs w:val="26"/>
        </w:rPr>
        <w:t xml:space="preserve"> in full detail the government’s own notion of its regulatory aims.</w:t>
      </w:r>
      <w:r w:rsidR="00903519" w:rsidRPr="00DE3DAA">
        <w:rPr>
          <w:rStyle w:val="ae"/>
          <w:rFonts w:ascii="Times New Roman" w:eastAsia="바탕" w:hAnsi="Times New Roman" w:cs="Times New Roman"/>
          <w:sz w:val="26"/>
          <w:szCs w:val="26"/>
        </w:rPr>
        <w:footnoteReference w:id="372"/>
      </w:r>
      <w:r w:rsidR="00F608C6" w:rsidRPr="00DE3DAA">
        <w:rPr>
          <w:rFonts w:ascii="Times New Roman" w:eastAsia="바탕" w:hAnsi="Times New Roman" w:cs="Times New Roman"/>
          <w:sz w:val="26"/>
          <w:szCs w:val="26"/>
        </w:rPr>
        <w:t xml:space="preserve"> The new policy document presents a more specific model of managerial adaptability in personal relations than the previous government’s presentation </w:t>
      </w:r>
      <w:r w:rsidR="00F608C6" w:rsidRPr="00DE3DAA">
        <w:rPr>
          <w:rFonts w:ascii="Times New Roman" w:eastAsia="바탕" w:hAnsi="Times New Roman" w:cs="Times New Roman"/>
          <w:sz w:val="26"/>
          <w:szCs w:val="26"/>
        </w:rPr>
        <w:lastRenderedPageBreak/>
        <w:t>had done.</w:t>
      </w:r>
      <w:r w:rsidR="00903519" w:rsidRPr="00DE3DAA">
        <w:rPr>
          <w:rStyle w:val="ae"/>
          <w:rFonts w:ascii="Times New Roman" w:eastAsia="바탕" w:hAnsi="Times New Roman" w:cs="Times New Roman"/>
          <w:sz w:val="26"/>
          <w:szCs w:val="26"/>
        </w:rPr>
        <w:footnoteReference w:id="373"/>
      </w:r>
      <w:r w:rsidR="00F608C6" w:rsidRPr="00DE3DAA">
        <w:rPr>
          <w:rFonts w:ascii="Times New Roman" w:eastAsia="바탕" w:hAnsi="Times New Roman" w:cs="Times New Roman"/>
          <w:sz w:val="26"/>
          <w:szCs w:val="26"/>
        </w:rPr>
        <w:t xml:space="preserve"> Specifically, the associated Analytical Report</w:t>
      </w:r>
      <w:r w:rsidR="00903519" w:rsidRPr="00DE3DAA">
        <w:rPr>
          <w:rStyle w:val="ae"/>
          <w:rFonts w:ascii="Times New Roman" w:eastAsia="바탕" w:hAnsi="Times New Roman" w:cs="Times New Roman"/>
          <w:sz w:val="26"/>
          <w:szCs w:val="26"/>
        </w:rPr>
        <w:footnoteReference w:id="374"/>
      </w:r>
      <w:r w:rsidR="0010480F" w:rsidRPr="00DE3DAA">
        <w:rPr>
          <w:rFonts w:ascii="Times New Roman" w:eastAsia="바탕" w:hAnsi="Times New Roman" w:cs="Times New Roman"/>
          <w:sz w:val="26"/>
          <w:szCs w:val="26"/>
        </w:rPr>
        <w:t xml:space="preserve"> </w:t>
      </w:r>
      <w:r w:rsidR="0073529D" w:rsidRPr="00DE3DAA">
        <w:rPr>
          <w:rFonts w:ascii="Times New Roman" w:eastAsia="바탕" w:hAnsi="Times New Roman" w:cs="Times New Roman"/>
          <w:sz w:val="26"/>
          <w:szCs w:val="26"/>
        </w:rPr>
        <w:t>articulates</w:t>
      </w:r>
      <w:r w:rsidR="00F608C6" w:rsidRPr="00DE3DAA">
        <w:rPr>
          <w:rFonts w:ascii="Times New Roman" w:eastAsia="바탕" w:hAnsi="Times New Roman" w:cs="Times New Roman"/>
          <w:sz w:val="26"/>
          <w:szCs w:val="26"/>
        </w:rPr>
        <w:t xml:space="preserve"> the idea of a highly entrepreneurial, but at the same time intensively managed, approach to personal work relations,</w:t>
      </w:r>
      <w:r w:rsidR="0073529D" w:rsidRPr="00DE3DAA">
        <w:rPr>
          <w:rFonts w:ascii="Times New Roman" w:eastAsia="바탕" w:hAnsi="Times New Roman" w:cs="Times New Roman"/>
          <w:sz w:val="26"/>
          <w:szCs w:val="26"/>
        </w:rPr>
        <w:t xml:space="preserve"> as indeed to the running of corporate enterprises in general.</w:t>
      </w:r>
      <w:r w:rsidR="00207421" w:rsidRPr="00DE3DAA">
        <w:rPr>
          <w:rFonts w:ascii="Times New Roman" w:eastAsia="바탕" w:hAnsi="Times New Roman" w:cs="Times New Roman"/>
          <w:sz w:val="26"/>
          <w:szCs w:val="26"/>
        </w:rPr>
        <w:t xml:space="preserve"> This approach especially emphasized factors such as the importance of the development of information technology as an instrument of management of personal work relations as well as of production, and the need for the construction of workers as managers, highly incentivized on an individual basis and attuned to rapid and constan</w:t>
      </w:r>
      <w:r w:rsidR="004941A5" w:rsidRPr="00DE3DAA">
        <w:rPr>
          <w:rFonts w:ascii="Times New Roman" w:eastAsia="바탕" w:hAnsi="Times New Roman" w:cs="Times New Roman"/>
          <w:sz w:val="26"/>
          <w:szCs w:val="26"/>
        </w:rPr>
        <w:t>t</w:t>
      </w:r>
      <w:r w:rsidR="00207421" w:rsidRPr="00DE3DAA">
        <w:rPr>
          <w:rFonts w:ascii="Times New Roman" w:eastAsia="바탕" w:hAnsi="Times New Roman" w:cs="Times New Roman"/>
          <w:sz w:val="26"/>
          <w:szCs w:val="26"/>
        </w:rPr>
        <w:t xml:space="preserve"> innovation.</w:t>
      </w:r>
      <w:r w:rsidR="00903519" w:rsidRPr="00DE3DAA">
        <w:rPr>
          <w:rStyle w:val="ae"/>
          <w:rFonts w:ascii="Times New Roman" w:eastAsia="바탕" w:hAnsi="Times New Roman" w:cs="Times New Roman"/>
          <w:sz w:val="26"/>
          <w:szCs w:val="26"/>
        </w:rPr>
        <w:footnoteReference w:id="375"/>
      </w:r>
      <w:r w:rsidR="00F10CAF" w:rsidRPr="00DE3DAA">
        <w:rPr>
          <w:rFonts w:ascii="Times New Roman" w:eastAsia="바탕" w:hAnsi="Times New Roman" w:cs="Times New Roman"/>
          <w:sz w:val="26"/>
          <w:szCs w:val="26"/>
        </w:rPr>
        <w:t xml:space="preserve"> </w:t>
      </w:r>
      <w:r w:rsidR="00DA4D09" w:rsidRPr="00DE3DAA">
        <w:rPr>
          <w:rFonts w:ascii="Times New Roman" w:eastAsia="바탕" w:hAnsi="Times New Roman" w:cs="Times New Roman"/>
          <w:sz w:val="26"/>
          <w:szCs w:val="26"/>
        </w:rPr>
        <w:t>A design for the law of personal work relations in the UK</w:t>
      </w:r>
      <w:r w:rsidR="00A87C6D" w:rsidRPr="00DE3DAA">
        <w:rPr>
          <w:rFonts w:ascii="Times New Roman" w:eastAsia="바탕" w:hAnsi="Times New Roman" w:cs="Times New Roman"/>
          <w:sz w:val="26"/>
          <w:szCs w:val="26"/>
        </w:rPr>
        <w:t xml:space="preserve"> emerged from </w:t>
      </w:r>
      <w:r w:rsidR="00A87C6D" w:rsidRPr="00DE3DAA">
        <w:rPr>
          <w:rFonts w:ascii="Times New Roman" w:eastAsia="바탕" w:hAnsi="Times New Roman" w:cs="Times New Roman"/>
          <w:i/>
          <w:sz w:val="26"/>
          <w:szCs w:val="26"/>
        </w:rPr>
        <w:t>Fairness at Work</w:t>
      </w:r>
      <w:r w:rsidR="00A87C6D" w:rsidRPr="00DE3DAA">
        <w:rPr>
          <w:rFonts w:ascii="Times New Roman" w:eastAsia="바탕" w:hAnsi="Times New Roman" w:cs="Times New Roman"/>
          <w:sz w:val="26"/>
          <w:szCs w:val="26"/>
        </w:rPr>
        <w:t xml:space="preserve"> where a space was created and cleared for legislative action.</w:t>
      </w:r>
      <w:r w:rsidR="00903519" w:rsidRPr="00DE3DAA">
        <w:rPr>
          <w:rStyle w:val="ae"/>
          <w:rFonts w:ascii="Times New Roman" w:eastAsia="바탕" w:hAnsi="Times New Roman" w:cs="Times New Roman"/>
          <w:sz w:val="26"/>
          <w:szCs w:val="26"/>
        </w:rPr>
        <w:footnoteReference w:id="376"/>
      </w:r>
      <w:r w:rsidR="00A87C6D" w:rsidRPr="00DE3DAA">
        <w:rPr>
          <w:rFonts w:ascii="Times New Roman" w:eastAsia="바탕" w:hAnsi="Times New Roman" w:cs="Times New Roman"/>
          <w:sz w:val="26"/>
          <w:szCs w:val="26"/>
        </w:rPr>
        <w:t xml:space="preserve"> The Prime Minister’s Foreword which was considered a tour de force of draftsmanship in this regard, described a path between two extremes of excessive regulation and insufficient regulation, the former being represented by the collective </w:t>
      </w:r>
      <w:proofErr w:type="spellStart"/>
      <w:r w:rsidR="00A87C6D" w:rsidRPr="00DE3DAA">
        <w:rPr>
          <w:rFonts w:ascii="Times New Roman" w:eastAsia="바탕" w:hAnsi="Times New Roman" w:cs="Times New Roman"/>
          <w:sz w:val="26"/>
          <w:szCs w:val="26"/>
        </w:rPr>
        <w:t>labour</w:t>
      </w:r>
      <w:proofErr w:type="spellEnd"/>
      <w:r w:rsidR="00A87C6D" w:rsidRPr="00DE3DAA">
        <w:rPr>
          <w:rFonts w:ascii="Times New Roman" w:eastAsia="바탕" w:hAnsi="Times New Roman" w:cs="Times New Roman"/>
          <w:sz w:val="26"/>
          <w:szCs w:val="26"/>
        </w:rPr>
        <w:t xml:space="preserve"> legislation of the 1970s by which industrial action and trade union restrictive practices were over-protected, and the later by the withdrawal or absence of even minimal protections for workers in some areas as the result of the policies of governments towards individual employment legislation in the 1980s and 1990s.</w:t>
      </w:r>
      <w:r w:rsidR="00903519" w:rsidRPr="00DE3DAA">
        <w:rPr>
          <w:rStyle w:val="ae"/>
          <w:rFonts w:ascii="Times New Roman" w:eastAsia="바탕" w:hAnsi="Times New Roman" w:cs="Times New Roman"/>
          <w:sz w:val="26"/>
          <w:szCs w:val="26"/>
        </w:rPr>
        <w:footnoteReference w:id="377"/>
      </w:r>
      <w:r w:rsidR="00A87C6D" w:rsidRPr="00DE3DAA">
        <w:rPr>
          <w:rFonts w:ascii="Times New Roman" w:eastAsia="바탕" w:hAnsi="Times New Roman" w:cs="Times New Roman"/>
          <w:sz w:val="26"/>
          <w:szCs w:val="26"/>
        </w:rPr>
        <w:t xml:space="preserve"> </w:t>
      </w:r>
      <w:r w:rsidR="00ED0333" w:rsidRPr="00DE3DAA">
        <w:rPr>
          <w:rFonts w:ascii="Times New Roman" w:eastAsia="바탕" w:hAnsi="Times New Roman" w:cs="Times New Roman"/>
          <w:sz w:val="26"/>
          <w:szCs w:val="26"/>
        </w:rPr>
        <w:t>In a simple summary, the Prime Minister declared that:</w:t>
      </w:r>
    </w:p>
    <w:p w14:paraId="6DBB9D76" w14:textId="5194AAE2" w:rsidR="00ED0333" w:rsidRPr="00DE3DAA" w:rsidRDefault="00ED0333" w:rsidP="00F04349">
      <w:pPr>
        <w:pStyle w:val="a3"/>
        <w:ind w:leftChars="0" w:left="1520"/>
        <w:rPr>
          <w:rFonts w:ascii="Times New Roman" w:eastAsia="바탕" w:hAnsi="Times New Roman" w:cs="Times New Roman"/>
          <w:sz w:val="26"/>
          <w:szCs w:val="26"/>
        </w:rPr>
      </w:pPr>
    </w:p>
    <w:p w14:paraId="4F6C730C" w14:textId="422EBE3D" w:rsidR="00ED0333" w:rsidRPr="00DE3DAA" w:rsidRDefault="00ED0333" w:rsidP="00F04349">
      <w:pPr>
        <w:pStyle w:val="a3"/>
        <w:ind w:leftChars="0" w:left="1520"/>
        <w:rPr>
          <w:rFonts w:ascii="Times New Roman" w:eastAsia="바탕" w:hAnsi="Times New Roman" w:cs="Times New Roman"/>
          <w:sz w:val="26"/>
          <w:szCs w:val="26"/>
        </w:rPr>
      </w:pPr>
      <w:r w:rsidRPr="00DE3DAA">
        <w:rPr>
          <w:rFonts w:ascii="Times New Roman" w:eastAsia="바탕" w:hAnsi="Times New Roman" w:cs="Times New Roman"/>
          <w:sz w:val="26"/>
          <w:szCs w:val="26"/>
        </w:rPr>
        <w:t>The White Paper steers a way between the absence of minimum standards of protection at the workplace, and a return to the laws of the past. It is based on the rights of the individual, whether exercised on their own or with others, as a matter of their choice. It matches rights and responsibilities. It seeks to draw a line under the issue of industrial relations law.</w:t>
      </w:r>
      <w:r w:rsidR="00903519" w:rsidRPr="00DE3DAA">
        <w:rPr>
          <w:rStyle w:val="ae"/>
          <w:rFonts w:ascii="Times New Roman" w:eastAsia="바탕" w:hAnsi="Times New Roman" w:cs="Times New Roman"/>
          <w:sz w:val="26"/>
          <w:szCs w:val="26"/>
        </w:rPr>
        <w:footnoteReference w:id="378"/>
      </w:r>
    </w:p>
    <w:p w14:paraId="542114D2" w14:textId="1428AFE8" w:rsidR="00ED0333" w:rsidRPr="00DE3DAA" w:rsidRDefault="00ED0333" w:rsidP="00F04349">
      <w:pPr>
        <w:pStyle w:val="a3"/>
        <w:ind w:leftChars="0" w:left="1520"/>
        <w:rPr>
          <w:rFonts w:ascii="Times New Roman" w:eastAsia="바탕" w:hAnsi="Times New Roman" w:cs="Times New Roman"/>
          <w:sz w:val="26"/>
          <w:szCs w:val="26"/>
        </w:rPr>
      </w:pPr>
    </w:p>
    <w:p w14:paraId="77F1152B" w14:textId="2C65DD12" w:rsidR="00ED0333" w:rsidRPr="00DE3DAA" w:rsidRDefault="009E3EAF" w:rsidP="00F04349">
      <w:pPr>
        <w:pStyle w:val="a3"/>
        <w:ind w:leftChars="0" w:left="1520"/>
        <w:rPr>
          <w:rFonts w:ascii="Times New Roman" w:eastAsia="바탕" w:hAnsi="Times New Roman" w:cs="Times New Roman"/>
          <w:sz w:val="26"/>
          <w:szCs w:val="26"/>
        </w:rPr>
      </w:pPr>
      <w:r w:rsidRPr="00DE3DAA">
        <w:rPr>
          <w:rFonts w:ascii="Times New Roman" w:eastAsia="바탕" w:hAnsi="Times New Roman" w:cs="Times New Roman"/>
          <w:sz w:val="26"/>
          <w:szCs w:val="26"/>
        </w:rPr>
        <w:t xml:space="preserve">During its first term of office the Bair administration perceived itself as having real freedom of </w:t>
      </w:r>
      <w:proofErr w:type="spellStart"/>
      <w:r w:rsidRPr="00DE3DAA">
        <w:rPr>
          <w:rFonts w:ascii="Times New Roman" w:eastAsia="바탕" w:hAnsi="Times New Roman" w:cs="Times New Roman"/>
          <w:sz w:val="26"/>
          <w:szCs w:val="26"/>
        </w:rPr>
        <w:t>manoeuvre</w:t>
      </w:r>
      <w:proofErr w:type="spellEnd"/>
      <w:r w:rsidRPr="00DE3DAA">
        <w:rPr>
          <w:rFonts w:ascii="Times New Roman" w:eastAsia="바탕" w:hAnsi="Times New Roman" w:cs="Times New Roman"/>
          <w:sz w:val="26"/>
          <w:szCs w:val="26"/>
        </w:rPr>
        <w:t xml:space="preserve"> </w:t>
      </w:r>
      <w:r w:rsidR="003978F0" w:rsidRPr="00DE3DAA">
        <w:rPr>
          <w:rFonts w:ascii="Times New Roman" w:eastAsia="바탕" w:hAnsi="Times New Roman" w:cs="Times New Roman"/>
          <w:sz w:val="26"/>
          <w:szCs w:val="26"/>
        </w:rPr>
        <w:t>in its development of the legislation and public policy of personal work relations.</w:t>
      </w:r>
      <w:r w:rsidR="004B41A8" w:rsidRPr="00DE3DAA">
        <w:rPr>
          <w:rFonts w:ascii="Times New Roman" w:eastAsia="바탕" w:hAnsi="Times New Roman" w:cs="Times New Roman"/>
          <w:sz w:val="26"/>
          <w:szCs w:val="26"/>
        </w:rPr>
        <w:t xml:space="preserve"> This freedom of </w:t>
      </w:r>
      <w:proofErr w:type="spellStart"/>
      <w:r w:rsidR="004B41A8" w:rsidRPr="00DE3DAA">
        <w:rPr>
          <w:rFonts w:ascii="Times New Roman" w:eastAsia="바탕" w:hAnsi="Times New Roman" w:cs="Times New Roman"/>
          <w:sz w:val="26"/>
          <w:szCs w:val="26"/>
        </w:rPr>
        <w:t>manoeuvre</w:t>
      </w:r>
      <w:proofErr w:type="spellEnd"/>
      <w:r w:rsidR="004B41A8" w:rsidRPr="00DE3DAA">
        <w:rPr>
          <w:rFonts w:ascii="Times New Roman" w:eastAsia="바탕" w:hAnsi="Times New Roman" w:cs="Times New Roman"/>
          <w:sz w:val="26"/>
          <w:szCs w:val="26"/>
        </w:rPr>
        <w:t xml:space="preserve"> would be exercised in four overlapping ways: first, to introduce a new body of minimum standards for some basic terms and conditions of employment;</w:t>
      </w:r>
      <w:r w:rsidR="00903519" w:rsidRPr="00DE3DAA">
        <w:rPr>
          <w:rStyle w:val="ae"/>
          <w:rFonts w:ascii="Times New Roman" w:eastAsia="바탕" w:hAnsi="Times New Roman" w:cs="Times New Roman"/>
          <w:sz w:val="26"/>
          <w:szCs w:val="26"/>
        </w:rPr>
        <w:footnoteReference w:id="379"/>
      </w:r>
      <w:r w:rsidR="003978F0" w:rsidRPr="00DE3DAA">
        <w:rPr>
          <w:rFonts w:ascii="Times New Roman" w:eastAsia="바탕" w:hAnsi="Times New Roman" w:cs="Times New Roman"/>
          <w:sz w:val="26"/>
          <w:szCs w:val="26"/>
        </w:rPr>
        <w:t xml:space="preserve"> </w:t>
      </w:r>
      <w:r w:rsidR="004B41A8" w:rsidRPr="00DE3DAA">
        <w:rPr>
          <w:rFonts w:ascii="Times New Roman" w:eastAsia="바탕" w:hAnsi="Times New Roman" w:cs="Times New Roman"/>
          <w:sz w:val="26"/>
          <w:szCs w:val="26"/>
        </w:rPr>
        <w:t>secondly, to accept and give effect to an obligation to move back into the mainstream of European Union social and employment policy formation and to implement the relevant Directi</w:t>
      </w:r>
      <w:r w:rsidR="00183003" w:rsidRPr="00DE3DAA">
        <w:rPr>
          <w:rFonts w:ascii="Times New Roman" w:eastAsia="바탕" w:hAnsi="Times New Roman" w:cs="Times New Roman"/>
          <w:sz w:val="26"/>
          <w:szCs w:val="26"/>
        </w:rPr>
        <w:t>v</w:t>
      </w:r>
      <w:r w:rsidR="004B41A8" w:rsidRPr="00DE3DAA">
        <w:rPr>
          <w:rFonts w:ascii="Times New Roman" w:eastAsia="바탕" w:hAnsi="Times New Roman" w:cs="Times New Roman"/>
          <w:sz w:val="26"/>
          <w:szCs w:val="26"/>
        </w:rPr>
        <w:t>es;</w:t>
      </w:r>
      <w:r w:rsidR="00903519" w:rsidRPr="00DE3DAA">
        <w:rPr>
          <w:rStyle w:val="ae"/>
          <w:rFonts w:ascii="Times New Roman" w:eastAsia="바탕" w:hAnsi="Times New Roman" w:cs="Times New Roman"/>
          <w:sz w:val="26"/>
          <w:szCs w:val="26"/>
        </w:rPr>
        <w:footnoteReference w:id="380"/>
      </w:r>
      <w:r w:rsidR="004B41A8" w:rsidRPr="00DE3DAA">
        <w:rPr>
          <w:rFonts w:ascii="Times New Roman" w:eastAsia="바탕" w:hAnsi="Times New Roman" w:cs="Times New Roman"/>
          <w:sz w:val="26"/>
          <w:szCs w:val="26"/>
        </w:rPr>
        <w:t xml:space="preserve"> thirdly, to introduce family-friendly</w:t>
      </w:r>
      <w:r w:rsidR="00183003" w:rsidRPr="00DE3DAA">
        <w:rPr>
          <w:rFonts w:ascii="Times New Roman" w:eastAsia="바탕" w:hAnsi="Times New Roman" w:cs="Times New Roman"/>
          <w:sz w:val="26"/>
          <w:szCs w:val="26"/>
        </w:rPr>
        <w:t xml:space="preserve"> provisions conferring greater rights upon workers in </w:t>
      </w:r>
      <w:proofErr w:type="spellStart"/>
      <w:r w:rsidR="00183003" w:rsidRPr="00DE3DAA">
        <w:rPr>
          <w:rFonts w:ascii="Times New Roman" w:eastAsia="바탕" w:hAnsi="Times New Roman" w:cs="Times New Roman"/>
          <w:sz w:val="26"/>
          <w:szCs w:val="26"/>
        </w:rPr>
        <w:t>favour</w:t>
      </w:r>
      <w:proofErr w:type="spellEnd"/>
      <w:r w:rsidR="00183003" w:rsidRPr="00DE3DAA">
        <w:rPr>
          <w:rFonts w:ascii="Times New Roman" w:eastAsia="바탕" w:hAnsi="Times New Roman" w:cs="Times New Roman"/>
          <w:sz w:val="26"/>
          <w:szCs w:val="26"/>
        </w:rPr>
        <w:t xml:space="preserve"> of their fuller engagement with the responsibilities of parenthood and family life;</w:t>
      </w:r>
      <w:r w:rsidR="00645D20" w:rsidRPr="00DE3DAA">
        <w:rPr>
          <w:rStyle w:val="ae"/>
          <w:rFonts w:ascii="Times New Roman" w:eastAsia="바탕" w:hAnsi="Times New Roman" w:cs="Times New Roman"/>
          <w:sz w:val="26"/>
          <w:szCs w:val="26"/>
        </w:rPr>
        <w:footnoteReference w:id="381"/>
      </w:r>
      <w:r w:rsidR="004E7B8F" w:rsidRPr="00DE3DAA">
        <w:rPr>
          <w:rFonts w:ascii="Times New Roman" w:eastAsia="바탕" w:hAnsi="Times New Roman" w:cs="Times New Roman"/>
          <w:sz w:val="26"/>
          <w:szCs w:val="26"/>
        </w:rPr>
        <w:t xml:space="preserve"> and, fourthly and finally, to respond to certain other specific domestic demands for the enhancement of workers’ rights and protections, as for example in relation to ‘whistle blowing’ by them.</w:t>
      </w:r>
      <w:r w:rsidR="00645D20" w:rsidRPr="00DE3DAA">
        <w:rPr>
          <w:rStyle w:val="ae"/>
          <w:rFonts w:ascii="Times New Roman" w:eastAsia="바탕" w:hAnsi="Times New Roman" w:cs="Times New Roman"/>
          <w:sz w:val="26"/>
          <w:szCs w:val="26"/>
        </w:rPr>
        <w:footnoteReference w:id="382"/>
      </w:r>
      <w:r w:rsidR="00463659" w:rsidRPr="00DE3DAA">
        <w:rPr>
          <w:rFonts w:ascii="Times New Roman" w:eastAsia="바탕" w:hAnsi="Times New Roman" w:cs="Times New Roman"/>
          <w:sz w:val="26"/>
          <w:szCs w:val="26"/>
        </w:rPr>
        <w:t xml:space="preserve"> While Fairness at Work detailed the set of directions which the new government intended to exercise the freedom of </w:t>
      </w:r>
      <w:proofErr w:type="spellStart"/>
      <w:r w:rsidR="00463659" w:rsidRPr="00DE3DAA">
        <w:rPr>
          <w:rFonts w:ascii="Times New Roman" w:eastAsia="바탕" w:hAnsi="Times New Roman" w:cs="Times New Roman"/>
          <w:sz w:val="26"/>
          <w:szCs w:val="26"/>
        </w:rPr>
        <w:t>manoeuvre</w:t>
      </w:r>
      <w:proofErr w:type="spellEnd"/>
      <w:r w:rsidR="00463659" w:rsidRPr="00DE3DAA">
        <w:rPr>
          <w:rFonts w:ascii="Times New Roman" w:eastAsia="바탕" w:hAnsi="Times New Roman" w:cs="Times New Roman"/>
          <w:sz w:val="26"/>
          <w:szCs w:val="26"/>
        </w:rPr>
        <w:t>, it also defined the sense which was assigned to the notion of ‘fairness’ in the White Paper</w:t>
      </w:r>
      <w:r w:rsidR="00CB06EF" w:rsidRPr="00DE3DAA">
        <w:rPr>
          <w:rFonts w:ascii="Times New Roman" w:eastAsia="바탕" w:hAnsi="Times New Roman" w:cs="Times New Roman"/>
          <w:sz w:val="26"/>
          <w:szCs w:val="26"/>
        </w:rPr>
        <w:t>. That</w:t>
      </w:r>
      <w:r w:rsidR="00463659" w:rsidRPr="00DE3DAA">
        <w:rPr>
          <w:rFonts w:ascii="Times New Roman" w:eastAsia="바탕" w:hAnsi="Times New Roman" w:cs="Times New Roman"/>
          <w:sz w:val="26"/>
          <w:szCs w:val="26"/>
        </w:rPr>
        <w:t xml:space="preserve"> notion of fairness was closely linked to that of maintaining the competitiveness of British commerce and industry,</w:t>
      </w:r>
      <w:r w:rsidR="00645D20" w:rsidRPr="00DE3DAA">
        <w:rPr>
          <w:rStyle w:val="ae"/>
          <w:rFonts w:ascii="Times New Roman" w:eastAsia="바탕" w:hAnsi="Times New Roman" w:cs="Times New Roman"/>
          <w:sz w:val="26"/>
          <w:szCs w:val="26"/>
        </w:rPr>
        <w:footnoteReference w:id="383"/>
      </w:r>
      <w:r w:rsidR="00463659" w:rsidRPr="00DE3DAA">
        <w:rPr>
          <w:rFonts w:ascii="Times New Roman" w:eastAsia="바탕" w:hAnsi="Times New Roman" w:cs="Times New Roman"/>
          <w:sz w:val="26"/>
          <w:szCs w:val="26"/>
        </w:rPr>
        <w:t xml:space="preserve"> </w:t>
      </w:r>
      <w:r w:rsidR="00E47A43" w:rsidRPr="00DE3DAA">
        <w:rPr>
          <w:rFonts w:ascii="Times New Roman" w:eastAsia="바탕" w:hAnsi="Times New Roman" w:cs="Times New Roman"/>
          <w:sz w:val="26"/>
          <w:szCs w:val="26"/>
        </w:rPr>
        <w:t xml:space="preserve">and it means that the legislative </w:t>
      </w:r>
      <w:proofErr w:type="spellStart"/>
      <w:r w:rsidR="00E47A43" w:rsidRPr="00DE3DAA">
        <w:rPr>
          <w:rFonts w:ascii="Times New Roman" w:eastAsia="바탕" w:hAnsi="Times New Roman" w:cs="Times New Roman"/>
          <w:sz w:val="26"/>
          <w:szCs w:val="26"/>
        </w:rPr>
        <w:t>programme</w:t>
      </w:r>
      <w:proofErr w:type="spellEnd"/>
      <w:r w:rsidR="00E47A43" w:rsidRPr="00DE3DAA">
        <w:rPr>
          <w:rFonts w:ascii="Times New Roman" w:eastAsia="바탕" w:hAnsi="Times New Roman" w:cs="Times New Roman"/>
          <w:sz w:val="26"/>
          <w:szCs w:val="26"/>
        </w:rPr>
        <w:t xml:space="preserve"> for personal work relations should be carried out with a prior carefulness not to </w:t>
      </w:r>
      <w:proofErr w:type="spellStart"/>
      <w:r w:rsidR="00E47A43" w:rsidRPr="00DE3DAA">
        <w:rPr>
          <w:rFonts w:ascii="Times New Roman" w:eastAsia="바탕" w:hAnsi="Times New Roman" w:cs="Times New Roman"/>
          <w:sz w:val="26"/>
          <w:szCs w:val="26"/>
        </w:rPr>
        <w:t>jeopardise</w:t>
      </w:r>
      <w:proofErr w:type="spellEnd"/>
      <w:r w:rsidR="00E47A43" w:rsidRPr="00DE3DAA">
        <w:rPr>
          <w:rFonts w:ascii="Times New Roman" w:eastAsia="바탕" w:hAnsi="Times New Roman" w:cs="Times New Roman"/>
          <w:sz w:val="26"/>
          <w:szCs w:val="26"/>
        </w:rPr>
        <w:t xml:space="preserve"> the gains in managerial flexibility which had been achieved by Conservative governments since 1979.</w:t>
      </w:r>
      <w:r w:rsidR="00645D20" w:rsidRPr="00DE3DAA">
        <w:rPr>
          <w:rStyle w:val="ae"/>
          <w:rFonts w:ascii="Times New Roman" w:eastAsia="바탕" w:hAnsi="Times New Roman" w:cs="Times New Roman"/>
          <w:sz w:val="26"/>
          <w:szCs w:val="26"/>
        </w:rPr>
        <w:footnoteReference w:id="384"/>
      </w:r>
    </w:p>
    <w:p w14:paraId="4D312266" w14:textId="710180F0" w:rsidR="00A35B42" w:rsidRPr="00DE3DAA" w:rsidRDefault="00A35B42" w:rsidP="00F04349">
      <w:pPr>
        <w:pStyle w:val="a3"/>
        <w:ind w:leftChars="0" w:left="1520"/>
        <w:rPr>
          <w:rFonts w:ascii="Times New Roman" w:eastAsia="바탕" w:hAnsi="Times New Roman" w:cs="Times New Roman"/>
          <w:sz w:val="26"/>
          <w:szCs w:val="26"/>
        </w:rPr>
      </w:pPr>
    </w:p>
    <w:p w14:paraId="61BC67E1" w14:textId="53652C0B" w:rsidR="00A35B42" w:rsidRPr="00DE3DAA" w:rsidRDefault="00377967" w:rsidP="00377967">
      <w:pPr>
        <w:pStyle w:val="a3"/>
        <w:numPr>
          <w:ilvl w:val="0"/>
          <w:numId w:val="22"/>
        </w:numPr>
        <w:ind w:leftChars="0"/>
        <w:rPr>
          <w:rFonts w:ascii="Times New Roman" w:eastAsia="바탕" w:hAnsi="Times New Roman" w:cs="Times New Roman"/>
          <w:sz w:val="26"/>
          <w:szCs w:val="26"/>
        </w:rPr>
      </w:pPr>
      <w:r w:rsidRPr="00DE3DAA">
        <w:rPr>
          <w:rFonts w:ascii="Times New Roman" w:eastAsia="바탕" w:hAnsi="Times New Roman" w:cs="Times New Roman"/>
          <w:sz w:val="26"/>
          <w:szCs w:val="26"/>
        </w:rPr>
        <w:t xml:space="preserve">Basic </w:t>
      </w:r>
      <w:proofErr w:type="spellStart"/>
      <w:r w:rsidRPr="00DE3DAA">
        <w:rPr>
          <w:rFonts w:ascii="Times New Roman" w:eastAsia="바탕" w:hAnsi="Times New Roman" w:cs="Times New Roman"/>
          <w:sz w:val="26"/>
          <w:szCs w:val="26"/>
        </w:rPr>
        <w:t>labour</w:t>
      </w:r>
      <w:proofErr w:type="spellEnd"/>
      <w:r w:rsidRPr="00DE3DAA">
        <w:rPr>
          <w:rFonts w:ascii="Times New Roman" w:eastAsia="바탕" w:hAnsi="Times New Roman" w:cs="Times New Roman"/>
          <w:sz w:val="26"/>
          <w:szCs w:val="26"/>
        </w:rPr>
        <w:t xml:space="preserve"> standards and general worker protection</w:t>
      </w:r>
    </w:p>
    <w:p w14:paraId="6B577D68" w14:textId="77777777" w:rsidR="00377967" w:rsidRPr="00DE3DAA" w:rsidRDefault="00377967" w:rsidP="00377967">
      <w:pPr>
        <w:rPr>
          <w:rFonts w:ascii="Times New Roman" w:eastAsia="바탕" w:hAnsi="Times New Roman" w:cs="Times New Roman"/>
          <w:sz w:val="26"/>
          <w:szCs w:val="26"/>
        </w:rPr>
      </w:pPr>
    </w:p>
    <w:p w14:paraId="0F430605" w14:textId="77D4F070" w:rsidR="00CC5EC5" w:rsidRPr="00DE3DAA" w:rsidRDefault="00377967" w:rsidP="00F04349">
      <w:pPr>
        <w:pStyle w:val="a3"/>
        <w:ind w:leftChars="0" w:left="1520"/>
        <w:rPr>
          <w:rFonts w:ascii="Times New Roman" w:eastAsia="바탕" w:hAnsi="Times New Roman" w:cs="Times New Roman"/>
          <w:sz w:val="26"/>
          <w:szCs w:val="26"/>
        </w:rPr>
      </w:pPr>
      <w:r w:rsidRPr="00DE3DAA">
        <w:rPr>
          <w:rFonts w:ascii="Times New Roman" w:eastAsia="바탕" w:hAnsi="Times New Roman" w:cs="Times New Roman"/>
          <w:sz w:val="26"/>
          <w:szCs w:val="26"/>
        </w:rPr>
        <w:t>Dur</w:t>
      </w:r>
      <w:r w:rsidR="00220861" w:rsidRPr="00DE3DAA">
        <w:rPr>
          <w:rFonts w:ascii="Times New Roman" w:eastAsia="바탕" w:hAnsi="Times New Roman" w:cs="Times New Roman"/>
          <w:sz w:val="26"/>
          <w:szCs w:val="26"/>
        </w:rPr>
        <w:t>i</w:t>
      </w:r>
      <w:r w:rsidRPr="00DE3DAA">
        <w:rPr>
          <w:rFonts w:ascii="Times New Roman" w:eastAsia="바탕" w:hAnsi="Times New Roman" w:cs="Times New Roman"/>
          <w:sz w:val="26"/>
          <w:szCs w:val="26"/>
        </w:rPr>
        <w:t xml:space="preserve">ng the first New </w:t>
      </w:r>
      <w:proofErr w:type="spellStart"/>
      <w:r w:rsidRPr="00DE3DAA">
        <w:rPr>
          <w:rFonts w:ascii="Times New Roman" w:eastAsia="바탕" w:hAnsi="Times New Roman" w:cs="Times New Roman"/>
          <w:sz w:val="26"/>
          <w:szCs w:val="26"/>
        </w:rPr>
        <w:t>Labour</w:t>
      </w:r>
      <w:proofErr w:type="spellEnd"/>
      <w:r w:rsidRPr="00DE3DAA">
        <w:rPr>
          <w:rFonts w:ascii="Times New Roman" w:eastAsia="바탕" w:hAnsi="Times New Roman" w:cs="Times New Roman"/>
          <w:sz w:val="26"/>
          <w:szCs w:val="26"/>
        </w:rPr>
        <w:t xml:space="preserve"> government, there were three principle legisl</w:t>
      </w:r>
      <w:r w:rsidR="00101700" w:rsidRPr="00DE3DAA">
        <w:rPr>
          <w:rFonts w:ascii="Times New Roman" w:eastAsia="바탕" w:hAnsi="Times New Roman" w:cs="Times New Roman"/>
          <w:sz w:val="26"/>
          <w:szCs w:val="26"/>
        </w:rPr>
        <w:t>ative cases in terms of</w:t>
      </w:r>
      <w:r w:rsidRPr="00DE3DAA">
        <w:rPr>
          <w:rFonts w:ascii="Times New Roman" w:eastAsia="바탕" w:hAnsi="Times New Roman" w:cs="Times New Roman"/>
          <w:sz w:val="26"/>
          <w:szCs w:val="26"/>
        </w:rPr>
        <w:t xml:space="preserve"> enhancement of basic </w:t>
      </w:r>
      <w:proofErr w:type="spellStart"/>
      <w:r w:rsidRPr="00DE3DAA">
        <w:rPr>
          <w:rFonts w:ascii="Times New Roman" w:eastAsia="바탕" w:hAnsi="Times New Roman" w:cs="Times New Roman"/>
          <w:sz w:val="26"/>
          <w:szCs w:val="26"/>
        </w:rPr>
        <w:t>labour</w:t>
      </w:r>
      <w:proofErr w:type="spellEnd"/>
      <w:r w:rsidRPr="00DE3DAA">
        <w:rPr>
          <w:rFonts w:ascii="Times New Roman" w:eastAsia="바탕" w:hAnsi="Times New Roman" w:cs="Times New Roman"/>
          <w:sz w:val="26"/>
          <w:szCs w:val="26"/>
        </w:rPr>
        <w:t xml:space="preserve"> standards and workers’ </w:t>
      </w:r>
      <w:r w:rsidRPr="00DE3DAA">
        <w:rPr>
          <w:rFonts w:ascii="Times New Roman" w:eastAsia="바탕" w:hAnsi="Times New Roman" w:cs="Times New Roman"/>
          <w:sz w:val="26"/>
          <w:szCs w:val="26"/>
        </w:rPr>
        <w:lastRenderedPageBreak/>
        <w:t xml:space="preserve">protections, </w:t>
      </w:r>
      <w:r w:rsidR="00101700" w:rsidRPr="00DE3DAA">
        <w:rPr>
          <w:rFonts w:ascii="Times New Roman" w:eastAsia="바탕" w:hAnsi="Times New Roman" w:cs="Times New Roman"/>
          <w:sz w:val="26"/>
          <w:szCs w:val="26"/>
        </w:rPr>
        <w:t xml:space="preserve">that is, </w:t>
      </w:r>
      <w:r w:rsidRPr="00DE3DAA">
        <w:rPr>
          <w:rFonts w:ascii="Times New Roman" w:eastAsia="바탕" w:hAnsi="Times New Roman" w:cs="Times New Roman"/>
          <w:sz w:val="26"/>
          <w:szCs w:val="26"/>
        </w:rPr>
        <w:t xml:space="preserve">the national minimum wage legislation of 1998-99, </w:t>
      </w:r>
      <w:r w:rsidR="003A0C1E" w:rsidRPr="00DE3DAA">
        <w:rPr>
          <w:rFonts w:ascii="Times New Roman" w:eastAsia="바탕" w:hAnsi="Times New Roman" w:cs="Times New Roman"/>
          <w:sz w:val="26"/>
          <w:szCs w:val="26"/>
        </w:rPr>
        <w:t>the working time legislation also of 1998-99, and the individual employment legislation of 1999, mainly contained in the Employment Relations Act of that year.</w:t>
      </w:r>
      <w:r w:rsidR="00645D20" w:rsidRPr="00DE3DAA">
        <w:rPr>
          <w:rStyle w:val="ae"/>
          <w:rFonts w:ascii="Times New Roman" w:eastAsia="바탕" w:hAnsi="Times New Roman" w:cs="Times New Roman"/>
          <w:sz w:val="26"/>
          <w:szCs w:val="26"/>
        </w:rPr>
        <w:footnoteReference w:id="385"/>
      </w:r>
      <w:r w:rsidR="00101700" w:rsidRPr="00DE3DAA">
        <w:rPr>
          <w:rFonts w:ascii="Times New Roman" w:eastAsia="바탕" w:hAnsi="Times New Roman" w:cs="Times New Roman"/>
          <w:sz w:val="26"/>
          <w:szCs w:val="26"/>
        </w:rPr>
        <w:t xml:space="preserve"> These measures have been considered to represent the high-water mark of New </w:t>
      </w:r>
      <w:proofErr w:type="spellStart"/>
      <w:r w:rsidR="00101700" w:rsidRPr="00DE3DAA">
        <w:rPr>
          <w:rFonts w:ascii="Times New Roman" w:eastAsia="바탕" w:hAnsi="Times New Roman" w:cs="Times New Roman"/>
          <w:sz w:val="26"/>
          <w:szCs w:val="26"/>
        </w:rPr>
        <w:t>Labour</w:t>
      </w:r>
      <w:proofErr w:type="spellEnd"/>
      <w:r w:rsidR="00101700" w:rsidRPr="00DE3DAA">
        <w:rPr>
          <w:rFonts w:ascii="Times New Roman" w:eastAsia="바탕" w:hAnsi="Times New Roman" w:cs="Times New Roman"/>
          <w:sz w:val="26"/>
          <w:szCs w:val="26"/>
        </w:rPr>
        <w:t xml:space="preserve"> progressiveness in the partial re-regulation of personal work relations, but in each case that progressiveness was tempered by cautiousness in the close texture of the legislation.</w:t>
      </w:r>
      <w:r w:rsidR="00645D20" w:rsidRPr="00DE3DAA">
        <w:rPr>
          <w:rStyle w:val="ae"/>
          <w:rFonts w:ascii="Times New Roman" w:eastAsia="바탕" w:hAnsi="Times New Roman" w:cs="Times New Roman"/>
          <w:sz w:val="26"/>
          <w:szCs w:val="26"/>
        </w:rPr>
        <w:footnoteReference w:id="386"/>
      </w:r>
      <w:r w:rsidR="001C5050" w:rsidRPr="00DE3DAA">
        <w:rPr>
          <w:rFonts w:ascii="Times New Roman" w:eastAsia="바탕" w:hAnsi="Times New Roman" w:cs="Times New Roman"/>
          <w:sz w:val="26"/>
          <w:szCs w:val="26"/>
        </w:rPr>
        <w:t xml:space="preserve"> The National Minimum Wage legislation </w:t>
      </w:r>
      <w:r w:rsidR="00DA4D90" w:rsidRPr="00DE3DAA">
        <w:rPr>
          <w:rFonts w:ascii="Times New Roman" w:eastAsia="바탕" w:hAnsi="Times New Roman" w:cs="Times New Roman"/>
          <w:sz w:val="26"/>
          <w:szCs w:val="26"/>
        </w:rPr>
        <w:t>has to be considered as a package</w:t>
      </w:r>
      <w:r w:rsidR="00B44FA8" w:rsidRPr="00DE3DAA">
        <w:rPr>
          <w:rFonts w:ascii="Times New Roman" w:eastAsia="바탕" w:hAnsi="Times New Roman" w:cs="Times New Roman"/>
          <w:sz w:val="26"/>
          <w:szCs w:val="26"/>
        </w:rPr>
        <w:t xml:space="preserve"> composed of the 1998 Act and two sets of Regulations enacted in 1999.</w:t>
      </w:r>
      <w:r w:rsidR="00645D20" w:rsidRPr="00DE3DAA">
        <w:rPr>
          <w:rStyle w:val="ae"/>
          <w:rFonts w:ascii="Times New Roman" w:eastAsia="바탕" w:hAnsi="Times New Roman" w:cs="Times New Roman"/>
          <w:sz w:val="26"/>
          <w:szCs w:val="26"/>
        </w:rPr>
        <w:footnoteReference w:id="387"/>
      </w:r>
      <w:r w:rsidR="00B44FA8" w:rsidRPr="00DE3DAA">
        <w:rPr>
          <w:rFonts w:ascii="Times New Roman" w:eastAsia="바탕" w:hAnsi="Times New Roman" w:cs="Times New Roman"/>
          <w:sz w:val="26"/>
          <w:szCs w:val="26"/>
        </w:rPr>
        <w:t xml:space="preserve"> The area of national minimum wages</w:t>
      </w:r>
      <w:r w:rsidR="00101706" w:rsidRPr="00DE3DAA">
        <w:rPr>
          <w:rFonts w:ascii="Times New Roman" w:eastAsia="바탕" w:hAnsi="Times New Roman" w:cs="Times New Roman"/>
          <w:sz w:val="26"/>
          <w:szCs w:val="26"/>
        </w:rPr>
        <w:t xml:space="preserve"> has been considered</w:t>
      </w:r>
      <w:r w:rsidR="00B44FA8" w:rsidRPr="00DE3DAA">
        <w:rPr>
          <w:rFonts w:ascii="Times New Roman" w:eastAsia="바탕" w:hAnsi="Times New Roman" w:cs="Times New Roman"/>
          <w:sz w:val="26"/>
          <w:szCs w:val="26"/>
        </w:rPr>
        <w:t xml:space="preserve"> one of those in which the government could most </w:t>
      </w:r>
      <w:r w:rsidR="00101706" w:rsidRPr="00DE3DAA">
        <w:rPr>
          <w:rFonts w:ascii="Times New Roman" w:eastAsia="바탕" w:hAnsi="Times New Roman" w:cs="Times New Roman"/>
          <w:sz w:val="26"/>
          <w:szCs w:val="26"/>
        </w:rPr>
        <w:t xml:space="preserve">convincingly claim to be taking a very different and ore progressive approach to the development of basic </w:t>
      </w:r>
      <w:proofErr w:type="spellStart"/>
      <w:r w:rsidR="00101706" w:rsidRPr="00DE3DAA">
        <w:rPr>
          <w:rFonts w:ascii="Times New Roman" w:eastAsia="바탕" w:hAnsi="Times New Roman" w:cs="Times New Roman"/>
          <w:sz w:val="26"/>
          <w:szCs w:val="26"/>
        </w:rPr>
        <w:t>labour</w:t>
      </w:r>
      <w:proofErr w:type="spellEnd"/>
      <w:r w:rsidR="00101706" w:rsidRPr="00DE3DAA">
        <w:rPr>
          <w:rFonts w:ascii="Times New Roman" w:eastAsia="바탕" w:hAnsi="Times New Roman" w:cs="Times New Roman"/>
          <w:sz w:val="26"/>
          <w:szCs w:val="26"/>
        </w:rPr>
        <w:t xml:space="preserve"> standards than its predecessors.</w:t>
      </w:r>
      <w:r w:rsidR="00645D20" w:rsidRPr="00DE3DAA">
        <w:rPr>
          <w:rStyle w:val="ae"/>
          <w:rFonts w:ascii="Times New Roman" w:eastAsia="바탕" w:hAnsi="Times New Roman" w:cs="Times New Roman"/>
          <w:sz w:val="26"/>
          <w:szCs w:val="26"/>
        </w:rPr>
        <w:footnoteReference w:id="388"/>
      </w:r>
      <w:r w:rsidR="00101706" w:rsidRPr="00DE3DAA">
        <w:rPr>
          <w:rFonts w:ascii="Times New Roman" w:eastAsia="바탕" w:hAnsi="Times New Roman" w:cs="Times New Roman"/>
          <w:sz w:val="26"/>
          <w:szCs w:val="26"/>
        </w:rPr>
        <w:t>Whereas the Major administration dismantled the system for setting minimum wages on an industrial sectoral basis by Wages Councils, the new government</w:t>
      </w:r>
      <w:r w:rsidR="00DC1CDA" w:rsidRPr="00DE3DAA">
        <w:rPr>
          <w:rFonts w:ascii="Times New Roman" w:eastAsia="바탕" w:hAnsi="Times New Roman" w:cs="Times New Roman"/>
          <w:sz w:val="26"/>
          <w:szCs w:val="26"/>
        </w:rPr>
        <w:t xml:space="preserve"> brought forward a uniform and nearly universal minimum wage throughout the </w:t>
      </w:r>
      <w:proofErr w:type="spellStart"/>
      <w:r w:rsidR="00DC1CDA" w:rsidRPr="00DE3DAA">
        <w:rPr>
          <w:rFonts w:ascii="Times New Roman" w:eastAsia="바탕" w:hAnsi="Times New Roman" w:cs="Times New Roman"/>
          <w:sz w:val="26"/>
          <w:szCs w:val="26"/>
        </w:rPr>
        <w:t>labour</w:t>
      </w:r>
      <w:proofErr w:type="spellEnd"/>
      <w:r w:rsidR="00DC1CDA" w:rsidRPr="00DE3DAA">
        <w:rPr>
          <w:rFonts w:ascii="Times New Roman" w:eastAsia="바탕" w:hAnsi="Times New Roman" w:cs="Times New Roman"/>
          <w:sz w:val="26"/>
          <w:szCs w:val="26"/>
        </w:rPr>
        <w:t xml:space="preserve"> market which would extend</w:t>
      </w:r>
      <w:r w:rsidR="00101706" w:rsidRPr="00DE3DAA">
        <w:rPr>
          <w:rFonts w:ascii="Times New Roman" w:eastAsia="바탕" w:hAnsi="Times New Roman" w:cs="Times New Roman"/>
          <w:sz w:val="26"/>
          <w:szCs w:val="26"/>
        </w:rPr>
        <w:t xml:space="preserve"> beyond the category of ‘employees’ to the wider category of ‘workers’</w:t>
      </w:r>
      <w:r w:rsidR="00DC1CDA" w:rsidRPr="00DE3DAA">
        <w:rPr>
          <w:rFonts w:ascii="Times New Roman" w:eastAsia="바탕" w:hAnsi="Times New Roman" w:cs="Times New Roman"/>
          <w:sz w:val="26"/>
          <w:szCs w:val="26"/>
        </w:rPr>
        <w:t>.</w:t>
      </w:r>
      <w:r w:rsidR="00645D20" w:rsidRPr="00DE3DAA">
        <w:rPr>
          <w:rStyle w:val="ae"/>
          <w:rFonts w:ascii="Times New Roman" w:eastAsia="바탕" w:hAnsi="Times New Roman" w:cs="Times New Roman"/>
          <w:sz w:val="26"/>
          <w:szCs w:val="26"/>
        </w:rPr>
        <w:footnoteReference w:id="389"/>
      </w:r>
      <w:r w:rsidR="00586CF6" w:rsidRPr="00DE3DAA">
        <w:rPr>
          <w:rFonts w:ascii="Times New Roman" w:eastAsia="바탕" w:hAnsi="Times New Roman" w:cs="Times New Roman"/>
          <w:sz w:val="26"/>
          <w:szCs w:val="26"/>
        </w:rPr>
        <w:t xml:space="preserve"> According to the Bob Simpson</w:t>
      </w:r>
      <w:r w:rsidR="00C6088D" w:rsidRPr="00DE3DAA">
        <w:rPr>
          <w:rFonts w:ascii="Times New Roman" w:eastAsia="바탕" w:hAnsi="Times New Roman" w:cs="Times New Roman"/>
          <w:sz w:val="26"/>
          <w:szCs w:val="26"/>
        </w:rPr>
        <w:t xml:space="preserve"> who has produced the most authoritative academic commentaries upon the National Minimum Wage legislation,</w:t>
      </w:r>
      <w:r w:rsidR="00645D20" w:rsidRPr="00DE3DAA">
        <w:rPr>
          <w:rStyle w:val="ae"/>
          <w:rFonts w:ascii="Times New Roman" w:eastAsia="바탕" w:hAnsi="Times New Roman" w:cs="Times New Roman"/>
          <w:sz w:val="26"/>
          <w:szCs w:val="26"/>
        </w:rPr>
        <w:footnoteReference w:id="390"/>
      </w:r>
      <w:r w:rsidR="00C6088D" w:rsidRPr="00DE3DAA">
        <w:rPr>
          <w:rFonts w:ascii="Times New Roman" w:eastAsia="바탕" w:hAnsi="Times New Roman" w:cs="Times New Roman"/>
          <w:sz w:val="26"/>
          <w:szCs w:val="26"/>
        </w:rPr>
        <w:t xml:space="preserve"> the </w:t>
      </w:r>
      <w:r w:rsidR="00C018C6" w:rsidRPr="00DE3DAA">
        <w:rPr>
          <w:rFonts w:ascii="Times New Roman" w:eastAsia="바탕" w:hAnsi="Times New Roman" w:cs="Times New Roman"/>
          <w:sz w:val="26"/>
          <w:szCs w:val="26"/>
        </w:rPr>
        <w:t xml:space="preserve">introduction of the national </w:t>
      </w:r>
      <w:r w:rsidR="00C6088D" w:rsidRPr="00DE3DAA">
        <w:rPr>
          <w:rFonts w:ascii="Times New Roman" w:eastAsia="바탕" w:hAnsi="Times New Roman" w:cs="Times New Roman"/>
          <w:sz w:val="26"/>
          <w:szCs w:val="26"/>
        </w:rPr>
        <w:t xml:space="preserve">minimum wage legislation </w:t>
      </w:r>
      <w:r w:rsidR="00C018C6" w:rsidRPr="00DE3DAA">
        <w:rPr>
          <w:rFonts w:ascii="Times New Roman" w:eastAsia="바탕" w:hAnsi="Times New Roman" w:cs="Times New Roman"/>
          <w:sz w:val="26"/>
          <w:szCs w:val="26"/>
        </w:rPr>
        <w:t>would be a</w:t>
      </w:r>
      <w:r w:rsidR="00D47F76" w:rsidRPr="00DE3DAA">
        <w:rPr>
          <w:rFonts w:ascii="Times New Roman" w:eastAsia="바탕" w:hAnsi="Times New Roman" w:cs="Times New Roman"/>
          <w:sz w:val="26"/>
          <w:szCs w:val="26"/>
        </w:rPr>
        <w:t>cknowledged</w:t>
      </w:r>
      <w:r w:rsidR="00C6088D" w:rsidRPr="00DE3DAA">
        <w:rPr>
          <w:rFonts w:ascii="Times New Roman" w:eastAsia="바탕" w:hAnsi="Times New Roman" w:cs="Times New Roman"/>
          <w:sz w:val="26"/>
          <w:szCs w:val="26"/>
        </w:rPr>
        <w:t xml:space="preserve"> the most radical and far-reaching reform of employment rights </w:t>
      </w:r>
      <w:r w:rsidR="00C6088D" w:rsidRPr="00DE3DAA">
        <w:rPr>
          <w:rFonts w:ascii="Times New Roman" w:eastAsia="바탕" w:hAnsi="Times New Roman" w:cs="Times New Roman"/>
          <w:sz w:val="26"/>
          <w:szCs w:val="26"/>
        </w:rPr>
        <w:lastRenderedPageBreak/>
        <w:t xml:space="preserve">made by the 1997 </w:t>
      </w:r>
      <w:proofErr w:type="spellStart"/>
      <w:r w:rsidR="00C6088D" w:rsidRPr="00DE3DAA">
        <w:rPr>
          <w:rFonts w:ascii="Times New Roman" w:eastAsia="바탕" w:hAnsi="Times New Roman" w:cs="Times New Roman"/>
          <w:sz w:val="26"/>
          <w:szCs w:val="26"/>
        </w:rPr>
        <w:t>Labour</w:t>
      </w:r>
      <w:proofErr w:type="spellEnd"/>
      <w:r w:rsidR="00C6088D" w:rsidRPr="00DE3DAA">
        <w:rPr>
          <w:rFonts w:ascii="Times New Roman" w:eastAsia="바탕" w:hAnsi="Times New Roman" w:cs="Times New Roman"/>
          <w:sz w:val="26"/>
          <w:szCs w:val="26"/>
        </w:rPr>
        <w:t xml:space="preserve"> government</w:t>
      </w:r>
      <w:r w:rsidR="00C018C6" w:rsidRPr="00DE3DAA">
        <w:rPr>
          <w:rFonts w:ascii="Times New Roman" w:eastAsia="바탕" w:hAnsi="Times New Roman" w:cs="Times New Roman"/>
          <w:sz w:val="26"/>
          <w:szCs w:val="26"/>
        </w:rPr>
        <w:t>.</w:t>
      </w:r>
      <w:r w:rsidR="00645D20" w:rsidRPr="00DE3DAA">
        <w:rPr>
          <w:rStyle w:val="ae"/>
          <w:rFonts w:ascii="Times New Roman" w:eastAsia="바탕" w:hAnsi="Times New Roman" w:cs="Times New Roman"/>
          <w:sz w:val="26"/>
          <w:szCs w:val="26"/>
        </w:rPr>
        <w:footnoteReference w:id="391"/>
      </w:r>
      <w:r w:rsidR="003E2A03" w:rsidRPr="00DE3DAA">
        <w:rPr>
          <w:rFonts w:ascii="Times New Roman" w:eastAsia="바탕" w:hAnsi="Times New Roman" w:cs="Times New Roman"/>
          <w:sz w:val="26"/>
          <w:szCs w:val="26"/>
        </w:rPr>
        <w:t xml:space="preserve"> </w:t>
      </w:r>
      <w:r w:rsidR="00102419" w:rsidRPr="00DE3DAA">
        <w:rPr>
          <w:rFonts w:ascii="Times New Roman" w:eastAsia="바탕" w:hAnsi="Times New Roman" w:cs="Times New Roman"/>
          <w:sz w:val="26"/>
          <w:szCs w:val="26"/>
        </w:rPr>
        <w:t xml:space="preserve">This almost complete universality of this intervention into the </w:t>
      </w:r>
      <w:proofErr w:type="spellStart"/>
      <w:r w:rsidR="00102419" w:rsidRPr="00DE3DAA">
        <w:rPr>
          <w:rFonts w:ascii="Times New Roman" w:eastAsia="바탕" w:hAnsi="Times New Roman" w:cs="Times New Roman"/>
          <w:sz w:val="26"/>
          <w:szCs w:val="26"/>
        </w:rPr>
        <w:t>labour</w:t>
      </w:r>
      <w:proofErr w:type="spellEnd"/>
      <w:r w:rsidR="00102419" w:rsidRPr="00DE3DAA">
        <w:rPr>
          <w:rFonts w:ascii="Times New Roman" w:eastAsia="바탕" w:hAnsi="Times New Roman" w:cs="Times New Roman"/>
          <w:sz w:val="26"/>
          <w:szCs w:val="26"/>
        </w:rPr>
        <w:t xml:space="preserve"> market was in a real sense counter-balanced by </w:t>
      </w:r>
      <w:r w:rsidR="00B40603" w:rsidRPr="00DE3DAA">
        <w:rPr>
          <w:rFonts w:ascii="Times New Roman" w:eastAsia="바탕" w:hAnsi="Times New Roman" w:cs="Times New Roman"/>
          <w:sz w:val="26"/>
          <w:szCs w:val="26"/>
        </w:rPr>
        <w:t xml:space="preserve">its relatively low intensity, denoted in particular by the cautious approach to the actual </w:t>
      </w:r>
      <w:r w:rsidR="00102419" w:rsidRPr="00DE3DAA">
        <w:rPr>
          <w:rFonts w:ascii="Times New Roman" w:eastAsia="바탕" w:hAnsi="Times New Roman" w:cs="Times New Roman"/>
          <w:sz w:val="26"/>
          <w:szCs w:val="26"/>
        </w:rPr>
        <w:t>setting of the National Minimum Wage</w:t>
      </w:r>
      <w:r w:rsidR="00645D20" w:rsidRPr="00DE3DAA">
        <w:rPr>
          <w:rStyle w:val="ae"/>
          <w:rFonts w:ascii="Times New Roman" w:eastAsia="바탕" w:hAnsi="Times New Roman" w:cs="Times New Roman"/>
          <w:sz w:val="26"/>
          <w:szCs w:val="26"/>
        </w:rPr>
        <w:footnoteReference w:id="392"/>
      </w:r>
      <w:r w:rsidR="00B40603" w:rsidRPr="00DE3DAA">
        <w:rPr>
          <w:rFonts w:ascii="Times New Roman" w:eastAsia="바탕" w:hAnsi="Times New Roman" w:cs="Times New Roman"/>
          <w:sz w:val="26"/>
          <w:szCs w:val="26"/>
        </w:rPr>
        <w:t xml:space="preserve"> having been</w:t>
      </w:r>
      <w:r w:rsidR="00102419" w:rsidRPr="00DE3DAA">
        <w:rPr>
          <w:rFonts w:ascii="Times New Roman" w:eastAsia="바탕" w:hAnsi="Times New Roman" w:cs="Times New Roman"/>
          <w:sz w:val="26"/>
          <w:szCs w:val="26"/>
        </w:rPr>
        <w:t xml:space="preserve"> reached between the government and the Low Pay Commission, and by the decisions to apply a lower ‘development’ wage to workers between the ages of 18 and 22 and certain other workers between 22 and 26 and to impose no minimum wage for workers below the age of 18.</w:t>
      </w:r>
      <w:r w:rsidR="00645D20" w:rsidRPr="00DE3DAA">
        <w:rPr>
          <w:rStyle w:val="ae"/>
          <w:rFonts w:ascii="Times New Roman" w:eastAsia="바탕" w:hAnsi="Times New Roman" w:cs="Times New Roman"/>
          <w:sz w:val="26"/>
          <w:szCs w:val="26"/>
        </w:rPr>
        <w:footnoteReference w:id="393"/>
      </w:r>
      <w:r w:rsidR="00B40603" w:rsidRPr="00DE3DAA">
        <w:rPr>
          <w:rFonts w:ascii="Times New Roman" w:eastAsia="바탕" w:hAnsi="Times New Roman" w:cs="Times New Roman"/>
          <w:sz w:val="26"/>
          <w:szCs w:val="26"/>
        </w:rPr>
        <w:t xml:space="preserve"> </w:t>
      </w:r>
      <w:r w:rsidR="003A68B8" w:rsidRPr="00DE3DAA">
        <w:rPr>
          <w:rFonts w:ascii="Times New Roman" w:eastAsia="바탕" w:hAnsi="Times New Roman" w:cs="Times New Roman"/>
          <w:sz w:val="26"/>
          <w:szCs w:val="26"/>
        </w:rPr>
        <w:t xml:space="preserve">However, </w:t>
      </w:r>
      <w:r w:rsidR="00E4766B" w:rsidRPr="00DE3DAA">
        <w:rPr>
          <w:rFonts w:ascii="Times New Roman" w:eastAsia="바탕" w:hAnsi="Times New Roman" w:cs="Times New Roman"/>
          <w:sz w:val="26"/>
          <w:szCs w:val="26"/>
        </w:rPr>
        <w:t xml:space="preserve">it </w:t>
      </w:r>
      <w:r w:rsidR="008F51C4" w:rsidRPr="00DE3DAA">
        <w:rPr>
          <w:rFonts w:ascii="Times New Roman" w:eastAsia="바탕" w:hAnsi="Times New Roman" w:cs="Times New Roman"/>
          <w:sz w:val="26"/>
          <w:szCs w:val="26"/>
        </w:rPr>
        <w:t>can be argued</w:t>
      </w:r>
      <w:r w:rsidR="00E4766B" w:rsidRPr="00DE3DAA">
        <w:rPr>
          <w:rFonts w:ascii="Times New Roman" w:eastAsia="바탕" w:hAnsi="Times New Roman" w:cs="Times New Roman"/>
          <w:sz w:val="26"/>
          <w:szCs w:val="26"/>
        </w:rPr>
        <w:t xml:space="preserve"> that the level at which the National Minimum Wage legislation intervened in the whole wage-setting process was such a low one as to demonstrate that the government’s con</w:t>
      </w:r>
      <w:r w:rsidR="00A02312" w:rsidRPr="00DE3DAA">
        <w:rPr>
          <w:rFonts w:ascii="Times New Roman" w:eastAsia="바탕" w:hAnsi="Times New Roman" w:cs="Times New Roman"/>
          <w:sz w:val="26"/>
          <w:szCs w:val="26"/>
        </w:rPr>
        <w:t xml:space="preserve">cern in introducing this mechanism </w:t>
      </w:r>
      <w:r w:rsidR="008F51C4" w:rsidRPr="00DE3DAA">
        <w:rPr>
          <w:rFonts w:ascii="Times New Roman" w:eastAsia="바탕" w:hAnsi="Times New Roman" w:cs="Times New Roman"/>
          <w:sz w:val="26"/>
          <w:szCs w:val="26"/>
        </w:rPr>
        <w:t xml:space="preserve">was, not so much to tackle a problem perceived as one of unconscionably low pay at the lowest existing grades of personal work relations, as rather to encourage the development of a more inclusive </w:t>
      </w:r>
      <w:proofErr w:type="spellStart"/>
      <w:r w:rsidR="008F51C4" w:rsidRPr="00DE3DAA">
        <w:rPr>
          <w:rFonts w:ascii="Times New Roman" w:eastAsia="바탕" w:hAnsi="Times New Roman" w:cs="Times New Roman"/>
          <w:sz w:val="26"/>
          <w:szCs w:val="26"/>
        </w:rPr>
        <w:t>labour</w:t>
      </w:r>
      <w:proofErr w:type="spellEnd"/>
      <w:r w:rsidR="008F51C4" w:rsidRPr="00DE3DAA">
        <w:rPr>
          <w:rFonts w:ascii="Times New Roman" w:eastAsia="바탕" w:hAnsi="Times New Roman" w:cs="Times New Roman"/>
          <w:sz w:val="26"/>
          <w:szCs w:val="26"/>
        </w:rPr>
        <w:t xml:space="preserve"> market without thereby enormously increasing the cost, to the state social security system, of guaranteeing subsistence wages for the workers newly drawn into that market.</w:t>
      </w:r>
      <w:r w:rsidR="00645D20" w:rsidRPr="00DE3DAA">
        <w:rPr>
          <w:rStyle w:val="ae"/>
          <w:rFonts w:ascii="Times New Roman" w:eastAsia="바탕" w:hAnsi="Times New Roman" w:cs="Times New Roman"/>
          <w:sz w:val="26"/>
          <w:szCs w:val="26"/>
        </w:rPr>
        <w:footnoteReference w:id="394"/>
      </w:r>
      <w:r w:rsidR="008F51C4" w:rsidRPr="00DE3DAA">
        <w:rPr>
          <w:rFonts w:ascii="Times New Roman" w:eastAsia="바탕" w:hAnsi="Times New Roman" w:cs="Times New Roman"/>
          <w:sz w:val="26"/>
          <w:szCs w:val="26"/>
        </w:rPr>
        <w:t xml:space="preserve"> </w:t>
      </w:r>
      <w:r w:rsidR="00C846F0" w:rsidRPr="00DE3DAA">
        <w:rPr>
          <w:rFonts w:ascii="Times New Roman" w:eastAsia="바탕" w:hAnsi="Times New Roman" w:cs="Times New Roman"/>
          <w:sz w:val="26"/>
          <w:szCs w:val="26"/>
        </w:rPr>
        <w:t>The balance</w:t>
      </w:r>
      <w:r w:rsidR="001C0A00" w:rsidRPr="00DE3DAA">
        <w:rPr>
          <w:rFonts w:ascii="Times New Roman" w:eastAsia="바탕" w:hAnsi="Times New Roman" w:cs="Times New Roman"/>
          <w:sz w:val="26"/>
          <w:szCs w:val="26"/>
        </w:rPr>
        <w:t xml:space="preserve"> between the competing political pressures upon the New </w:t>
      </w:r>
      <w:proofErr w:type="spellStart"/>
      <w:r w:rsidR="001C0A00" w:rsidRPr="00DE3DAA">
        <w:rPr>
          <w:rFonts w:ascii="Times New Roman" w:eastAsia="바탕" w:hAnsi="Times New Roman" w:cs="Times New Roman"/>
          <w:sz w:val="26"/>
          <w:szCs w:val="26"/>
        </w:rPr>
        <w:t>Labour</w:t>
      </w:r>
      <w:proofErr w:type="spellEnd"/>
      <w:r w:rsidR="001C0A00" w:rsidRPr="00DE3DAA">
        <w:rPr>
          <w:rFonts w:ascii="Times New Roman" w:eastAsia="바탕" w:hAnsi="Times New Roman" w:cs="Times New Roman"/>
          <w:sz w:val="26"/>
          <w:szCs w:val="26"/>
        </w:rPr>
        <w:t xml:space="preserve"> government for re-regulation on the one hand and, on the other hand, for the preservation of the strong version of managerial adaptability which had been hard-won by the previous administration, was held rather differently, as compared with the way in which minimum wages were re-introduced, when it came to the other main area in which progressive intentions were announced by </w:t>
      </w:r>
      <w:r w:rsidR="001C0A00" w:rsidRPr="00DE3DAA">
        <w:rPr>
          <w:rFonts w:ascii="Times New Roman" w:eastAsia="바탕" w:hAnsi="Times New Roman" w:cs="Times New Roman"/>
          <w:i/>
          <w:sz w:val="26"/>
          <w:szCs w:val="26"/>
        </w:rPr>
        <w:t>Fairness at Work</w:t>
      </w:r>
      <w:r w:rsidR="001C0A00" w:rsidRPr="00DE3DAA">
        <w:rPr>
          <w:rFonts w:ascii="Times New Roman" w:eastAsia="바탕" w:hAnsi="Times New Roman" w:cs="Times New Roman"/>
          <w:sz w:val="26"/>
          <w:szCs w:val="26"/>
        </w:rPr>
        <w:t xml:space="preserve"> with regard to individual employment law, that of the regulation of working time.</w:t>
      </w:r>
      <w:r w:rsidR="00645D20" w:rsidRPr="00DE3DAA">
        <w:rPr>
          <w:rStyle w:val="ae"/>
          <w:rFonts w:ascii="Times New Roman" w:eastAsia="바탕" w:hAnsi="Times New Roman" w:cs="Times New Roman"/>
          <w:sz w:val="26"/>
          <w:szCs w:val="26"/>
        </w:rPr>
        <w:footnoteReference w:id="395"/>
      </w:r>
      <w:r w:rsidR="00074788" w:rsidRPr="00DE3DAA">
        <w:rPr>
          <w:rFonts w:ascii="Times New Roman" w:eastAsia="바탕" w:hAnsi="Times New Roman" w:cs="Times New Roman"/>
          <w:sz w:val="26"/>
          <w:szCs w:val="26"/>
        </w:rPr>
        <w:t xml:space="preserve"> </w:t>
      </w:r>
      <w:r w:rsidR="00366D44" w:rsidRPr="00DE3DAA">
        <w:rPr>
          <w:rFonts w:ascii="Times New Roman" w:eastAsia="바탕" w:hAnsi="Times New Roman" w:cs="Times New Roman"/>
          <w:sz w:val="26"/>
          <w:szCs w:val="26"/>
        </w:rPr>
        <w:t xml:space="preserve">In 1997 the New </w:t>
      </w:r>
      <w:proofErr w:type="spellStart"/>
      <w:r w:rsidR="00366D44" w:rsidRPr="00DE3DAA">
        <w:rPr>
          <w:rFonts w:ascii="Times New Roman" w:eastAsia="바탕" w:hAnsi="Times New Roman" w:cs="Times New Roman"/>
          <w:sz w:val="26"/>
          <w:szCs w:val="26"/>
        </w:rPr>
        <w:t>Labour</w:t>
      </w:r>
      <w:proofErr w:type="spellEnd"/>
      <w:r w:rsidR="00366D44" w:rsidRPr="00DE3DAA">
        <w:rPr>
          <w:rFonts w:ascii="Times New Roman" w:eastAsia="바탕" w:hAnsi="Times New Roman" w:cs="Times New Roman"/>
          <w:sz w:val="26"/>
          <w:szCs w:val="26"/>
        </w:rPr>
        <w:t xml:space="preserve"> government </w:t>
      </w:r>
      <w:r w:rsidR="00366D44" w:rsidRPr="00DE3DAA">
        <w:rPr>
          <w:rFonts w:ascii="Times New Roman" w:eastAsia="바탕" w:hAnsi="Times New Roman" w:cs="Times New Roman"/>
          <w:sz w:val="26"/>
          <w:szCs w:val="26"/>
        </w:rPr>
        <w:lastRenderedPageBreak/>
        <w:t>immediately exercised the electoral mandate which it had acquired to re-engage with European Union social policy by accepting the enlargement of Community competence in that area which had been effected</w:t>
      </w:r>
      <w:r w:rsidR="009234DA" w:rsidRPr="00DE3DAA">
        <w:rPr>
          <w:rFonts w:ascii="Times New Roman" w:eastAsia="바탕" w:hAnsi="Times New Roman" w:cs="Times New Roman"/>
          <w:sz w:val="26"/>
          <w:szCs w:val="26"/>
        </w:rPr>
        <w:t xml:space="preserve"> for the other eleven Member States, by the Social Policy Protocol accompanying the Maastricht Treaty in 1991, and which was now extended to the United Kingdom in the very slightly modified form</w:t>
      </w:r>
      <w:r w:rsidR="00645D20" w:rsidRPr="00DE3DAA">
        <w:rPr>
          <w:rStyle w:val="ae"/>
          <w:rFonts w:ascii="Times New Roman" w:eastAsia="바탕" w:hAnsi="Times New Roman" w:cs="Times New Roman"/>
          <w:sz w:val="26"/>
          <w:szCs w:val="26"/>
        </w:rPr>
        <w:footnoteReference w:id="396"/>
      </w:r>
      <w:r w:rsidR="009234DA" w:rsidRPr="00DE3DAA">
        <w:rPr>
          <w:rFonts w:ascii="Times New Roman" w:eastAsia="바탕" w:hAnsi="Times New Roman" w:cs="Times New Roman"/>
          <w:sz w:val="26"/>
          <w:szCs w:val="26"/>
        </w:rPr>
        <w:t xml:space="preserve"> in which it merged from the Treaty of Amsterdam in 1997.</w:t>
      </w:r>
      <w:r w:rsidR="00645D20" w:rsidRPr="00DE3DAA">
        <w:rPr>
          <w:rStyle w:val="ae"/>
          <w:rFonts w:ascii="Times New Roman" w:eastAsia="바탕" w:hAnsi="Times New Roman" w:cs="Times New Roman"/>
          <w:sz w:val="26"/>
          <w:szCs w:val="26"/>
        </w:rPr>
        <w:footnoteReference w:id="397"/>
      </w:r>
      <w:r w:rsidR="00EB1B3B" w:rsidRPr="00DE3DAA">
        <w:rPr>
          <w:rFonts w:ascii="Times New Roman" w:eastAsia="바탕" w:hAnsi="Times New Roman" w:cs="Times New Roman"/>
          <w:sz w:val="26"/>
          <w:szCs w:val="26"/>
        </w:rPr>
        <w:t xml:space="preserve"> </w:t>
      </w:r>
      <w:r w:rsidR="000E0BFE" w:rsidRPr="00DE3DAA">
        <w:rPr>
          <w:rFonts w:ascii="Times New Roman" w:eastAsia="바탕" w:hAnsi="Times New Roman" w:cs="Times New Roman"/>
          <w:sz w:val="26"/>
          <w:szCs w:val="26"/>
        </w:rPr>
        <w:t xml:space="preserve">Within the particular environment where the Conservative opposition maintained the fierce attack upon the legislation, the government was </w:t>
      </w:r>
      <w:r w:rsidR="0052573F" w:rsidRPr="00DE3DAA">
        <w:rPr>
          <w:rFonts w:ascii="Times New Roman" w:eastAsia="바탕" w:hAnsi="Times New Roman" w:cs="Times New Roman"/>
          <w:sz w:val="26"/>
          <w:szCs w:val="26"/>
        </w:rPr>
        <w:t>placed</w:t>
      </w:r>
      <w:r w:rsidR="0065504C" w:rsidRPr="00DE3DAA">
        <w:rPr>
          <w:rFonts w:ascii="Times New Roman" w:eastAsia="바탕" w:hAnsi="Times New Roman" w:cs="Times New Roman"/>
          <w:sz w:val="26"/>
          <w:szCs w:val="26"/>
        </w:rPr>
        <w:t xml:space="preserve"> </w:t>
      </w:r>
      <w:r w:rsidR="000E0BFE" w:rsidRPr="00DE3DAA">
        <w:rPr>
          <w:rFonts w:ascii="Times New Roman" w:eastAsia="바탕" w:hAnsi="Times New Roman" w:cs="Times New Roman"/>
          <w:sz w:val="26"/>
          <w:szCs w:val="26"/>
        </w:rPr>
        <w:t>to take advantage of the softening of the Working Time Directive which the previous government had helped to effect as that Directive went through the Community’s political process, so that the version of the Directive which was enacted in the Working Time Reg</w:t>
      </w:r>
      <w:r w:rsidR="0065504C" w:rsidRPr="00DE3DAA">
        <w:rPr>
          <w:rFonts w:ascii="Times New Roman" w:eastAsia="바탕" w:hAnsi="Times New Roman" w:cs="Times New Roman"/>
          <w:sz w:val="26"/>
          <w:szCs w:val="26"/>
        </w:rPr>
        <w:t>u</w:t>
      </w:r>
      <w:r w:rsidR="000E0BFE" w:rsidRPr="00DE3DAA">
        <w:rPr>
          <w:rFonts w:ascii="Times New Roman" w:eastAsia="바탕" w:hAnsi="Times New Roman" w:cs="Times New Roman"/>
          <w:sz w:val="26"/>
          <w:szCs w:val="26"/>
        </w:rPr>
        <w:t>lations of 1998</w:t>
      </w:r>
      <w:r w:rsidR="0052573F" w:rsidRPr="00DE3DAA">
        <w:rPr>
          <w:rFonts w:ascii="Times New Roman" w:eastAsia="바탕" w:hAnsi="Times New Roman" w:cs="Times New Roman"/>
          <w:sz w:val="26"/>
          <w:szCs w:val="26"/>
        </w:rPr>
        <w:t xml:space="preserve"> was one which carefully took up all the opportunities which the Directive afforded for derogation by collective agreement,</w:t>
      </w:r>
      <w:r w:rsidR="00645D20" w:rsidRPr="00DE3DAA">
        <w:rPr>
          <w:rStyle w:val="ae"/>
          <w:rFonts w:ascii="Times New Roman" w:eastAsia="바탕" w:hAnsi="Times New Roman" w:cs="Times New Roman"/>
          <w:sz w:val="26"/>
          <w:szCs w:val="26"/>
        </w:rPr>
        <w:footnoteReference w:id="398"/>
      </w:r>
      <w:r w:rsidR="0052573F" w:rsidRPr="00DE3DAA">
        <w:rPr>
          <w:rFonts w:ascii="Times New Roman" w:eastAsia="바탕" w:hAnsi="Times New Roman" w:cs="Times New Roman"/>
          <w:sz w:val="26"/>
          <w:szCs w:val="26"/>
        </w:rPr>
        <w:t xml:space="preserve"> or individual agreement</w:t>
      </w:r>
      <w:r w:rsidR="00645D20" w:rsidRPr="00DE3DAA">
        <w:rPr>
          <w:rStyle w:val="ae"/>
          <w:rFonts w:ascii="Times New Roman" w:eastAsia="바탕" w:hAnsi="Times New Roman" w:cs="Times New Roman"/>
          <w:sz w:val="26"/>
          <w:szCs w:val="26"/>
        </w:rPr>
        <w:footnoteReference w:id="399"/>
      </w:r>
      <w:r w:rsidR="0052573F" w:rsidRPr="00DE3DAA">
        <w:rPr>
          <w:rFonts w:ascii="Times New Roman" w:eastAsia="바탕" w:hAnsi="Times New Roman" w:cs="Times New Roman"/>
          <w:sz w:val="26"/>
          <w:szCs w:val="26"/>
        </w:rPr>
        <w:t xml:space="preserve">, from the basic </w:t>
      </w:r>
      <w:proofErr w:type="spellStart"/>
      <w:r w:rsidR="0052573F" w:rsidRPr="00DE3DAA">
        <w:rPr>
          <w:rFonts w:ascii="Times New Roman" w:eastAsia="바탕" w:hAnsi="Times New Roman" w:cs="Times New Roman"/>
          <w:sz w:val="26"/>
          <w:szCs w:val="26"/>
        </w:rPr>
        <w:t>labour</w:t>
      </w:r>
      <w:proofErr w:type="spellEnd"/>
      <w:r w:rsidR="0052573F" w:rsidRPr="00DE3DAA">
        <w:rPr>
          <w:rFonts w:ascii="Times New Roman" w:eastAsia="바탕" w:hAnsi="Times New Roman" w:cs="Times New Roman"/>
          <w:sz w:val="26"/>
          <w:szCs w:val="26"/>
        </w:rPr>
        <w:t xml:space="preserve"> standards which it imposed.</w:t>
      </w:r>
      <w:r w:rsidR="000E0BFE" w:rsidRPr="00DE3DAA">
        <w:rPr>
          <w:rFonts w:ascii="Times New Roman" w:eastAsia="바탕" w:hAnsi="Times New Roman" w:cs="Times New Roman"/>
          <w:sz w:val="26"/>
          <w:szCs w:val="26"/>
        </w:rPr>
        <w:t xml:space="preserve"> </w:t>
      </w:r>
      <w:r w:rsidR="00EB1B3B" w:rsidRPr="00DE3DAA">
        <w:rPr>
          <w:rFonts w:ascii="Times New Roman" w:eastAsia="바탕" w:hAnsi="Times New Roman" w:cs="Times New Roman"/>
          <w:sz w:val="26"/>
          <w:szCs w:val="26"/>
        </w:rPr>
        <w:t xml:space="preserve">Of the two central </w:t>
      </w:r>
      <w:proofErr w:type="spellStart"/>
      <w:r w:rsidR="00EB1B3B" w:rsidRPr="00DE3DAA">
        <w:rPr>
          <w:rFonts w:ascii="Times New Roman" w:eastAsia="바탕" w:hAnsi="Times New Roman" w:cs="Times New Roman"/>
          <w:sz w:val="26"/>
          <w:szCs w:val="26"/>
        </w:rPr>
        <w:t>labour</w:t>
      </w:r>
      <w:proofErr w:type="spellEnd"/>
      <w:r w:rsidR="00EB1B3B" w:rsidRPr="00DE3DAA">
        <w:rPr>
          <w:rFonts w:ascii="Times New Roman" w:eastAsia="바탕" w:hAnsi="Times New Roman" w:cs="Times New Roman"/>
          <w:sz w:val="26"/>
          <w:szCs w:val="26"/>
        </w:rPr>
        <w:t xml:space="preserve"> standards</w:t>
      </w:r>
      <w:r w:rsidR="00645D20" w:rsidRPr="00DE3DAA">
        <w:rPr>
          <w:rStyle w:val="ae"/>
          <w:rFonts w:ascii="Times New Roman" w:eastAsia="바탕" w:hAnsi="Times New Roman" w:cs="Times New Roman"/>
          <w:sz w:val="26"/>
          <w:szCs w:val="26"/>
        </w:rPr>
        <w:footnoteReference w:id="400"/>
      </w:r>
      <w:r w:rsidR="00EB1B3B" w:rsidRPr="00DE3DAA">
        <w:rPr>
          <w:rFonts w:ascii="Times New Roman" w:eastAsia="바탕" w:hAnsi="Times New Roman" w:cs="Times New Roman"/>
          <w:sz w:val="26"/>
          <w:szCs w:val="26"/>
        </w:rPr>
        <w:t xml:space="preserve"> which the Directive required of Member States- the weekly working time limit for an average of 48 hours, and the entitlement to a minimum period of paid annual leave- while the latter was not </w:t>
      </w:r>
      <w:proofErr w:type="spellStart"/>
      <w:r w:rsidR="00EB1B3B" w:rsidRPr="00DE3DAA">
        <w:rPr>
          <w:rFonts w:ascii="Times New Roman" w:eastAsia="바탕" w:hAnsi="Times New Roman" w:cs="Times New Roman"/>
          <w:sz w:val="26"/>
          <w:szCs w:val="26"/>
        </w:rPr>
        <w:t>derogable</w:t>
      </w:r>
      <w:proofErr w:type="spellEnd"/>
      <w:r w:rsidR="00EB1B3B" w:rsidRPr="00DE3DAA">
        <w:rPr>
          <w:rFonts w:ascii="Times New Roman" w:eastAsia="바탕" w:hAnsi="Times New Roman" w:cs="Times New Roman"/>
          <w:sz w:val="26"/>
          <w:szCs w:val="26"/>
        </w:rPr>
        <w:t xml:space="preserve"> by agreement of any kind, the former was allowed by the Directive to be the subject of derogation by individual </w:t>
      </w:r>
      <w:r w:rsidR="00EB1B3B" w:rsidRPr="00DE3DAA">
        <w:rPr>
          <w:rFonts w:ascii="Times New Roman" w:eastAsia="바탕" w:hAnsi="Times New Roman" w:cs="Times New Roman"/>
          <w:sz w:val="26"/>
          <w:szCs w:val="26"/>
        </w:rPr>
        <w:lastRenderedPageBreak/>
        <w:t>agreement.</w:t>
      </w:r>
      <w:r w:rsidR="00645D20" w:rsidRPr="00DE3DAA">
        <w:rPr>
          <w:rStyle w:val="ae"/>
          <w:rFonts w:ascii="Times New Roman" w:eastAsia="바탕" w:hAnsi="Times New Roman" w:cs="Times New Roman"/>
          <w:sz w:val="26"/>
          <w:szCs w:val="26"/>
        </w:rPr>
        <w:footnoteReference w:id="401"/>
      </w:r>
      <w:r w:rsidR="009B6C35" w:rsidRPr="00DE3DAA">
        <w:rPr>
          <w:rFonts w:ascii="Times New Roman" w:eastAsia="바탕" w:hAnsi="Times New Roman" w:cs="Times New Roman"/>
          <w:sz w:val="26"/>
          <w:szCs w:val="26"/>
        </w:rPr>
        <w:t xml:space="preserve"> </w:t>
      </w:r>
      <w:r w:rsidR="00221151" w:rsidRPr="00DE3DAA">
        <w:rPr>
          <w:rFonts w:ascii="Times New Roman" w:eastAsia="바탕" w:hAnsi="Times New Roman" w:cs="Times New Roman"/>
          <w:sz w:val="26"/>
          <w:szCs w:val="26"/>
        </w:rPr>
        <w:t>By taking up</w:t>
      </w:r>
      <w:r w:rsidR="009B6C35" w:rsidRPr="00DE3DAA">
        <w:rPr>
          <w:rFonts w:ascii="Times New Roman" w:eastAsia="바탕" w:hAnsi="Times New Roman" w:cs="Times New Roman"/>
          <w:sz w:val="26"/>
          <w:szCs w:val="26"/>
        </w:rPr>
        <w:t xml:space="preserve"> </w:t>
      </w:r>
      <w:r w:rsidR="00645D20" w:rsidRPr="00DE3DAA">
        <w:rPr>
          <w:rStyle w:val="ae"/>
          <w:rFonts w:ascii="Times New Roman" w:eastAsia="바탕" w:hAnsi="Times New Roman" w:cs="Times New Roman"/>
          <w:sz w:val="26"/>
          <w:szCs w:val="26"/>
        </w:rPr>
        <w:footnoteReference w:id="402"/>
      </w:r>
      <w:r w:rsidR="009B6C35" w:rsidRPr="00DE3DAA">
        <w:rPr>
          <w:rFonts w:ascii="Times New Roman" w:eastAsia="바탕" w:hAnsi="Times New Roman" w:cs="Times New Roman"/>
          <w:sz w:val="26"/>
          <w:szCs w:val="26"/>
        </w:rPr>
        <w:t xml:space="preserve">the option for derogation from the 48 hours standard by individual agreement, the Regulations </w:t>
      </w:r>
      <w:r w:rsidR="00A9316E" w:rsidRPr="00DE3DAA">
        <w:rPr>
          <w:rFonts w:ascii="Times New Roman" w:eastAsia="바탕" w:hAnsi="Times New Roman" w:cs="Times New Roman"/>
          <w:sz w:val="26"/>
          <w:szCs w:val="26"/>
        </w:rPr>
        <w:t>advocated</w:t>
      </w:r>
      <w:r w:rsidR="009B6C35" w:rsidRPr="00DE3DAA">
        <w:rPr>
          <w:rFonts w:ascii="Times New Roman" w:eastAsia="바탕" w:hAnsi="Times New Roman" w:cs="Times New Roman"/>
          <w:sz w:val="26"/>
          <w:szCs w:val="26"/>
        </w:rPr>
        <w:t xml:space="preserve"> what might have been predicted to be, and certainly turned out to be, a relatively lightly prescriptive regulation of weekly working time, mainly because of the ease with which employing enterprises are in practice able to obtain wai</w:t>
      </w:r>
      <w:r w:rsidR="00221151" w:rsidRPr="00DE3DAA">
        <w:rPr>
          <w:rFonts w:ascii="Times New Roman" w:eastAsia="바탕" w:hAnsi="Times New Roman" w:cs="Times New Roman"/>
          <w:sz w:val="26"/>
          <w:szCs w:val="26"/>
        </w:rPr>
        <w:t>v</w:t>
      </w:r>
      <w:r w:rsidR="009B6C35" w:rsidRPr="00DE3DAA">
        <w:rPr>
          <w:rFonts w:ascii="Times New Roman" w:eastAsia="바탕" w:hAnsi="Times New Roman" w:cs="Times New Roman"/>
          <w:sz w:val="26"/>
          <w:szCs w:val="26"/>
        </w:rPr>
        <w:t>ers of the 48 hours maximum from individual workers or applicants to become workers.</w:t>
      </w:r>
      <w:r w:rsidR="00645D20" w:rsidRPr="00DE3DAA">
        <w:rPr>
          <w:rStyle w:val="ae"/>
          <w:rFonts w:ascii="Times New Roman" w:eastAsia="바탕" w:hAnsi="Times New Roman" w:cs="Times New Roman"/>
          <w:sz w:val="26"/>
          <w:szCs w:val="26"/>
        </w:rPr>
        <w:footnoteReference w:id="403"/>
      </w:r>
      <w:r w:rsidR="00C76858" w:rsidRPr="00DE3DAA">
        <w:rPr>
          <w:rFonts w:ascii="Times New Roman" w:eastAsia="바탕" w:hAnsi="Times New Roman" w:cs="Times New Roman"/>
          <w:sz w:val="26"/>
          <w:szCs w:val="26"/>
        </w:rPr>
        <w:t xml:space="preserve"> </w:t>
      </w:r>
      <w:r w:rsidR="005407C7" w:rsidRPr="00DE3DAA">
        <w:rPr>
          <w:rFonts w:ascii="Times New Roman" w:eastAsia="바탕" w:hAnsi="Times New Roman" w:cs="Times New Roman"/>
          <w:sz w:val="26"/>
          <w:szCs w:val="26"/>
        </w:rPr>
        <w:t xml:space="preserve">The result of major empirical study published in 2003 concluded that the use of individual opt-outs was a principal reason for the failure of the </w:t>
      </w:r>
      <w:proofErr w:type="spellStart"/>
      <w:r w:rsidR="005407C7" w:rsidRPr="00DE3DAA">
        <w:rPr>
          <w:rFonts w:ascii="Times New Roman" w:eastAsia="바탕" w:hAnsi="Times New Roman" w:cs="Times New Roman"/>
          <w:sz w:val="26"/>
          <w:szCs w:val="26"/>
        </w:rPr>
        <w:t>Directie</w:t>
      </w:r>
      <w:proofErr w:type="spellEnd"/>
      <w:r w:rsidR="005407C7" w:rsidRPr="00DE3DAA">
        <w:rPr>
          <w:rFonts w:ascii="Times New Roman" w:eastAsia="바탕" w:hAnsi="Times New Roman" w:cs="Times New Roman"/>
          <w:sz w:val="26"/>
          <w:szCs w:val="26"/>
        </w:rPr>
        <w:t xml:space="preserve"> thus far to have had much impact on an ingrained culture of working long hours in the UK.</w:t>
      </w:r>
      <w:r w:rsidR="00645D20" w:rsidRPr="00DE3DAA">
        <w:rPr>
          <w:rStyle w:val="ae"/>
          <w:rFonts w:ascii="Times New Roman" w:eastAsia="바탕" w:hAnsi="Times New Roman" w:cs="Times New Roman"/>
          <w:sz w:val="26"/>
          <w:szCs w:val="26"/>
        </w:rPr>
        <w:footnoteReference w:id="404"/>
      </w:r>
      <w:r w:rsidR="00CA6A62" w:rsidRPr="00DE3DAA">
        <w:rPr>
          <w:rFonts w:ascii="Times New Roman" w:eastAsia="바탕" w:hAnsi="Times New Roman" w:cs="Times New Roman"/>
          <w:sz w:val="26"/>
          <w:szCs w:val="26"/>
        </w:rPr>
        <w:t xml:space="preserve">As mentioned above, the first Blair government </w:t>
      </w:r>
      <w:r w:rsidR="00A168D0" w:rsidRPr="00DE3DAA">
        <w:rPr>
          <w:rFonts w:ascii="Times New Roman" w:eastAsia="바탕" w:hAnsi="Times New Roman" w:cs="Times New Roman"/>
          <w:sz w:val="26"/>
          <w:szCs w:val="26"/>
        </w:rPr>
        <w:t>established the main platform of measured re-regulation of personal work relations by enacting the National Minimum Wage and Working Time legislation. Among a number of other measures taken in the course of 1999, which were two particular sub-sets, one concerned with the extension or improvement of unfair dismissal rights and the other with the extension or improvement of the maternity and parental rights of workers.</w:t>
      </w:r>
      <w:r w:rsidR="00645D20" w:rsidRPr="00DE3DAA">
        <w:rPr>
          <w:rStyle w:val="ae"/>
          <w:rFonts w:ascii="Times New Roman" w:eastAsia="바탕" w:hAnsi="Times New Roman" w:cs="Times New Roman"/>
          <w:sz w:val="26"/>
          <w:szCs w:val="26"/>
        </w:rPr>
        <w:footnoteReference w:id="405"/>
      </w:r>
      <w:r w:rsidR="00A168D0" w:rsidRPr="00DE3DAA">
        <w:rPr>
          <w:rFonts w:ascii="Times New Roman" w:eastAsia="바탕" w:hAnsi="Times New Roman" w:cs="Times New Roman"/>
          <w:sz w:val="26"/>
          <w:szCs w:val="26"/>
        </w:rPr>
        <w:t xml:space="preserve"> </w:t>
      </w:r>
      <w:r w:rsidR="00A931CD" w:rsidRPr="00DE3DAA">
        <w:rPr>
          <w:rFonts w:ascii="Times New Roman" w:eastAsia="바탕" w:hAnsi="Times New Roman" w:cs="Times New Roman"/>
          <w:sz w:val="26"/>
          <w:szCs w:val="26"/>
        </w:rPr>
        <w:t xml:space="preserve"> It can be said that</w:t>
      </w:r>
      <w:r w:rsidR="00A168D0" w:rsidRPr="00DE3DAA">
        <w:rPr>
          <w:rFonts w:ascii="Times New Roman" w:eastAsia="바탕" w:hAnsi="Times New Roman" w:cs="Times New Roman"/>
          <w:sz w:val="26"/>
          <w:szCs w:val="26"/>
        </w:rPr>
        <w:t xml:space="preserve"> the same combination of progressiveness with caution and of re-engagement with EC social policy with deference to Euro-sceptic sensibilities as encountered in the context of the ground-breaking </w:t>
      </w:r>
      <w:r w:rsidR="00A168D0" w:rsidRPr="00DE3DAA">
        <w:rPr>
          <w:rFonts w:ascii="Times New Roman" w:eastAsia="바탕" w:hAnsi="Times New Roman" w:cs="Times New Roman"/>
          <w:sz w:val="26"/>
          <w:szCs w:val="26"/>
        </w:rPr>
        <w:lastRenderedPageBreak/>
        <w:t>legislation of 1998.</w:t>
      </w:r>
      <w:r w:rsidR="00645D20" w:rsidRPr="00DE3DAA">
        <w:rPr>
          <w:rStyle w:val="ae"/>
          <w:rFonts w:ascii="Times New Roman" w:eastAsia="바탕" w:hAnsi="Times New Roman" w:cs="Times New Roman"/>
          <w:sz w:val="26"/>
          <w:szCs w:val="26"/>
        </w:rPr>
        <w:footnoteReference w:id="406"/>
      </w:r>
      <w:r w:rsidR="000364BF" w:rsidRPr="00DE3DAA">
        <w:rPr>
          <w:rFonts w:ascii="Times New Roman" w:eastAsia="바탕" w:hAnsi="Times New Roman" w:cs="Times New Roman"/>
          <w:sz w:val="26"/>
          <w:szCs w:val="26"/>
        </w:rPr>
        <w:t xml:space="preserve"> </w:t>
      </w:r>
      <w:r w:rsidR="00662394" w:rsidRPr="00DE3DAA">
        <w:rPr>
          <w:rFonts w:ascii="Times New Roman" w:eastAsia="바탕" w:hAnsi="Times New Roman" w:cs="Times New Roman"/>
          <w:sz w:val="26"/>
          <w:szCs w:val="26"/>
        </w:rPr>
        <w:t xml:space="preserve">The cautious and tightly controlled advancement of the New government’s progressive approach to the development of basic </w:t>
      </w:r>
      <w:proofErr w:type="spellStart"/>
      <w:r w:rsidR="00662394" w:rsidRPr="00DE3DAA">
        <w:rPr>
          <w:rFonts w:ascii="Times New Roman" w:eastAsia="바탕" w:hAnsi="Times New Roman" w:cs="Times New Roman"/>
          <w:sz w:val="26"/>
          <w:szCs w:val="26"/>
        </w:rPr>
        <w:t>labour</w:t>
      </w:r>
      <w:proofErr w:type="spellEnd"/>
      <w:r w:rsidR="00662394" w:rsidRPr="00DE3DAA">
        <w:rPr>
          <w:rFonts w:ascii="Times New Roman" w:eastAsia="바탕" w:hAnsi="Times New Roman" w:cs="Times New Roman"/>
          <w:sz w:val="26"/>
          <w:szCs w:val="26"/>
        </w:rPr>
        <w:t xml:space="preserve"> standards and workers’ protections was also demonstrated by the </w:t>
      </w:r>
      <w:r w:rsidR="00F66EFF" w:rsidRPr="00DE3DAA">
        <w:rPr>
          <w:rFonts w:ascii="Times New Roman" w:eastAsia="바탕" w:hAnsi="Times New Roman" w:cs="Times New Roman"/>
          <w:sz w:val="26"/>
          <w:szCs w:val="26"/>
        </w:rPr>
        <w:t>enac</w:t>
      </w:r>
      <w:r w:rsidR="00662394" w:rsidRPr="00DE3DAA">
        <w:rPr>
          <w:rFonts w:ascii="Times New Roman" w:eastAsia="바탕" w:hAnsi="Times New Roman" w:cs="Times New Roman"/>
          <w:sz w:val="26"/>
          <w:szCs w:val="26"/>
        </w:rPr>
        <w:t xml:space="preserve">tment of the Maternity and Parental Leave </w:t>
      </w:r>
      <w:proofErr w:type="spellStart"/>
      <w:r w:rsidR="00662394" w:rsidRPr="00DE3DAA">
        <w:rPr>
          <w:rFonts w:ascii="Times New Roman" w:eastAsia="바탕" w:hAnsi="Times New Roman" w:cs="Times New Roman"/>
          <w:sz w:val="26"/>
          <w:szCs w:val="26"/>
        </w:rPr>
        <w:t>etc</w:t>
      </w:r>
      <w:proofErr w:type="spellEnd"/>
      <w:r w:rsidR="00662394" w:rsidRPr="00DE3DAA">
        <w:rPr>
          <w:rFonts w:ascii="Times New Roman" w:eastAsia="바탕" w:hAnsi="Times New Roman" w:cs="Times New Roman"/>
          <w:sz w:val="26"/>
          <w:szCs w:val="26"/>
        </w:rPr>
        <w:t xml:space="preserve"> Regulations 1999</w:t>
      </w:r>
      <w:r w:rsidR="00645D20" w:rsidRPr="00DE3DAA">
        <w:rPr>
          <w:rStyle w:val="ae"/>
          <w:rFonts w:ascii="Times New Roman" w:eastAsia="바탕" w:hAnsi="Times New Roman" w:cs="Times New Roman"/>
          <w:sz w:val="26"/>
          <w:szCs w:val="26"/>
        </w:rPr>
        <w:footnoteReference w:id="407"/>
      </w:r>
      <w:r w:rsidR="00662394" w:rsidRPr="00DE3DAA">
        <w:rPr>
          <w:rFonts w:ascii="Times New Roman" w:eastAsia="바탕" w:hAnsi="Times New Roman" w:cs="Times New Roman"/>
          <w:sz w:val="26"/>
          <w:szCs w:val="26"/>
        </w:rPr>
        <w:t xml:space="preserve"> </w:t>
      </w:r>
      <w:r w:rsidR="00F66EFF" w:rsidRPr="00DE3DAA">
        <w:rPr>
          <w:rFonts w:ascii="Times New Roman" w:eastAsia="바탕" w:hAnsi="Times New Roman" w:cs="Times New Roman"/>
          <w:sz w:val="26"/>
          <w:szCs w:val="26"/>
        </w:rPr>
        <w:t>which was mandated to be legislated</w:t>
      </w:r>
      <w:r w:rsidR="00524526" w:rsidRPr="00DE3DAA">
        <w:rPr>
          <w:rFonts w:ascii="Times New Roman" w:eastAsia="바탕" w:hAnsi="Times New Roman" w:cs="Times New Roman"/>
          <w:sz w:val="26"/>
          <w:szCs w:val="26"/>
        </w:rPr>
        <w:t xml:space="preserve"> to implement the Parental Leave Directive of 1996</w:t>
      </w:r>
      <w:r w:rsidR="00645D20" w:rsidRPr="00DE3DAA">
        <w:rPr>
          <w:rStyle w:val="ae"/>
          <w:rFonts w:ascii="Times New Roman" w:eastAsia="바탕" w:hAnsi="Times New Roman" w:cs="Times New Roman"/>
          <w:sz w:val="26"/>
          <w:szCs w:val="26"/>
        </w:rPr>
        <w:footnoteReference w:id="408"/>
      </w:r>
      <w:r w:rsidR="00524526" w:rsidRPr="00DE3DAA">
        <w:rPr>
          <w:rFonts w:ascii="Times New Roman" w:eastAsia="바탕" w:hAnsi="Times New Roman" w:cs="Times New Roman"/>
          <w:sz w:val="26"/>
          <w:szCs w:val="26"/>
        </w:rPr>
        <w:t>.</w:t>
      </w:r>
      <w:r w:rsidR="00F83FA2" w:rsidRPr="00DE3DAA">
        <w:rPr>
          <w:rFonts w:ascii="Times New Roman" w:eastAsia="바탕" w:hAnsi="Times New Roman" w:cs="Times New Roman"/>
          <w:sz w:val="26"/>
          <w:szCs w:val="26"/>
        </w:rPr>
        <w:t xml:space="preserve"> </w:t>
      </w:r>
      <w:r w:rsidR="00D61673" w:rsidRPr="00DE3DAA">
        <w:rPr>
          <w:rFonts w:ascii="Times New Roman" w:eastAsia="바탕" w:hAnsi="Times New Roman" w:cs="Times New Roman"/>
          <w:sz w:val="26"/>
          <w:szCs w:val="26"/>
        </w:rPr>
        <w:t>Although this measure was progressive and family-friendly measure</w:t>
      </w:r>
      <w:r w:rsidR="00817D58" w:rsidRPr="00DE3DAA">
        <w:rPr>
          <w:rFonts w:ascii="Times New Roman" w:eastAsia="바탕" w:hAnsi="Times New Roman" w:cs="Times New Roman"/>
          <w:sz w:val="26"/>
          <w:szCs w:val="26"/>
        </w:rPr>
        <w:t xml:space="preserve"> both in improving the </w:t>
      </w:r>
      <w:r w:rsidR="00C96440" w:rsidRPr="00DE3DAA">
        <w:rPr>
          <w:rFonts w:ascii="Times New Roman" w:eastAsia="바탕" w:hAnsi="Times New Roman" w:cs="Times New Roman"/>
          <w:sz w:val="26"/>
          <w:szCs w:val="26"/>
        </w:rPr>
        <w:t>current maternity leave regime and in introducing parental leave for the first time</w:t>
      </w:r>
      <w:r w:rsidR="00D61673" w:rsidRPr="00DE3DAA">
        <w:rPr>
          <w:rFonts w:ascii="Times New Roman" w:eastAsia="바탕" w:hAnsi="Times New Roman" w:cs="Times New Roman"/>
          <w:sz w:val="26"/>
          <w:szCs w:val="26"/>
        </w:rPr>
        <w:t>, when taken together with the provisions on the same subject in the Employment Relations Act 1999</w:t>
      </w:r>
      <w:r w:rsidR="00645D20" w:rsidRPr="00DE3DAA">
        <w:rPr>
          <w:rStyle w:val="ae"/>
          <w:rFonts w:ascii="Times New Roman" w:eastAsia="바탕" w:hAnsi="Times New Roman" w:cs="Times New Roman"/>
          <w:sz w:val="26"/>
          <w:szCs w:val="26"/>
        </w:rPr>
        <w:footnoteReference w:id="409"/>
      </w:r>
      <w:r w:rsidR="00D61673" w:rsidRPr="00DE3DAA">
        <w:rPr>
          <w:rFonts w:ascii="Times New Roman" w:eastAsia="바탕" w:hAnsi="Times New Roman" w:cs="Times New Roman"/>
          <w:sz w:val="26"/>
          <w:szCs w:val="26"/>
        </w:rPr>
        <w:t xml:space="preserve"> itself</w:t>
      </w:r>
      <w:r w:rsidR="00C96440" w:rsidRPr="00DE3DAA">
        <w:rPr>
          <w:rFonts w:ascii="Times New Roman" w:eastAsia="바탕" w:hAnsi="Times New Roman" w:cs="Times New Roman"/>
          <w:sz w:val="26"/>
          <w:szCs w:val="26"/>
        </w:rPr>
        <w:t>, it caused disappointment among the proponents of family-friendly policies</w:t>
      </w:r>
      <w:r w:rsidR="00645D20" w:rsidRPr="00DE3DAA">
        <w:rPr>
          <w:rStyle w:val="ae"/>
          <w:rFonts w:ascii="Times New Roman" w:eastAsia="바탕" w:hAnsi="Times New Roman" w:cs="Times New Roman"/>
          <w:sz w:val="26"/>
          <w:szCs w:val="26"/>
        </w:rPr>
        <w:footnoteReference w:id="410"/>
      </w:r>
      <w:r w:rsidR="00C96440" w:rsidRPr="00DE3DAA">
        <w:rPr>
          <w:rFonts w:ascii="Times New Roman" w:eastAsia="바탕" w:hAnsi="Times New Roman" w:cs="Times New Roman"/>
          <w:sz w:val="26"/>
          <w:szCs w:val="26"/>
        </w:rPr>
        <w:t xml:space="preserve"> by setting the period of leave at the minimum allowed by the Directive</w:t>
      </w:r>
      <w:r w:rsidR="00645D20" w:rsidRPr="00DE3DAA">
        <w:rPr>
          <w:rStyle w:val="ae"/>
          <w:rFonts w:ascii="Times New Roman" w:eastAsia="바탕" w:hAnsi="Times New Roman" w:cs="Times New Roman"/>
          <w:sz w:val="26"/>
          <w:szCs w:val="26"/>
        </w:rPr>
        <w:footnoteReference w:id="411"/>
      </w:r>
      <w:r w:rsidR="00C96440" w:rsidRPr="00DE3DAA">
        <w:rPr>
          <w:rFonts w:ascii="Times New Roman" w:eastAsia="바탕" w:hAnsi="Times New Roman" w:cs="Times New Roman"/>
          <w:sz w:val="26"/>
          <w:szCs w:val="26"/>
        </w:rPr>
        <w:t>, and by failing to require that any part of the leave should be paid leave.</w:t>
      </w:r>
    </w:p>
    <w:p w14:paraId="445A3994" w14:textId="545FBB2E" w:rsidR="009B6C35" w:rsidRPr="00DE3DAA" w:rsidRDefault="009B6C35" w:rsidP="00F04349">
      <w:pPr>
        <w:pStyle w:val="a3"/>
        <w:ind w:leftChars="0" w:left="1520"/>
        <w:rPr>
          <w:rFonts w:ascii="Times New Roman" w:eastAsia="바탕" w:hAnsi="Times New Roman" w:cs="Times New Roman"/>
          <w:sz w:val="26"/>
          <w:szCs w:val="26"/>
        </w:rPr>
      </w:pPr>
    </w:p>
    <w:p w14:paraId="779CBA6F" w14:textId="5DCDA35B" w:rsidR="009B6C35" w:rsidRPr="00DE3DAA" w:rsidRDefault="002D2068" w:rsidP="00F04349">
      <w:pPr>
        <w:pStyle w:val="a3"/>
        <w:ind w:leftChars="0" w:left="1520"/>
        <w:rPr>
          <w:rFonts w:ascii="Times New Roman" w:eastAsia="바탕" w:hAnsi="Times New Roman" w:cs="Times New Roman"/>
          <w:sz w:val="26"/>
          <w:szCs w:val="26"/>
        </w:rPr>
      </w:pPr>
      <w:r w:rsidRPr="00DE3DAA">
        <w:rPr>
          <w:rFonts w:ascii="Times New Roman" w:eastAsia="바탕" w:hAnsi="Times New Roman" w:cs="Times New Roman"/>
          <w:sz w:val="26"/>
          <w:szCs w:val="26"/>
        </w:rPr>
        <w:t>b</w:t>
      </w:r>
      <w:r w:rsidR="0079036D" w:rsidRPr="00DE3DAA">
        <w:rPr>
          <w:rFonts w:ascii="Times New Roman" w:eastAsia="바탕" w:hAnsi="Times New Roman" w:cs="Times New Roman"/>
          <w:sz w:val="26"/>
          <w:szCs w:val="26"/>
        </w:rPr>
        <w:t>.</w:t>
      </w:r>
      <w:r w:rsidRPr="00DE3DAA">
        <w:rPr>
          <w:rFonts w:ascii="Times New Roman" w:eastAsia="바탕" w:hAnsi="Times New Roman" w:cs="Times New Roman"/>
          <w:sz w:val="26"/>
          <w:szCs w:val="26"/>
        </w:rPr>
        <w:t xml:space="preserve"> Recognition of human and equality rights in personal work relations</w:t>
      </w:r>
    </w:p>
    <w:p w14:paraId="1C7F582E" w14:textId="5C669FFF" w:rsidR="002D2068" w:rsidRPr="00DE3DAA" w:rsidRDefault="002D2068" w:rsidP="00F04349">
      <w:pPr>
        <w:pStyle w:val="a3"/>
        <w:ind w:leftChars="0" w:left="1520"/>
        <w:rPr>
          <w:rFonts w:ascii="Times New Roman" w:eastAsia="바탕" w:hAnsi="Times New Roman" w:cs="Times New Roman"/>
          <w:sz w:val="26"/>
          <w:szCs w:val="26"/>
        </w:rPr>
      </w:pPr>
    </w:p>
    <w:p w14:paraId="5ABA04BD" w14:textId="4B8619CE" w:rsidR="00FD097C" w:rsidRPr="00DE3DAA" w:rsidRDefault="00EC0D00" w:rsidP="00F04349">
      <w:pPr>
        <w:pStyle w:val="a3"/>
        <w:ind w:leftChars="0" w:left="1520"/>
        <w:rPr>
          <w:rFonts w:ascii="Times New Roman" w:eastAsia="바탕" w:hAnsi="Times New Roman" w:cs="Times New Roman"/>
          <w:sz w:val="26"/>
          <w:szCs w:val="26"/>
        </w:rPr>
      </w:pPr>
      <w:r w:rsidRPr="00DE3DAA">
        <w:rPr>
          <w:rFonts w:ascii="Times New Roman" w:eastAsia="바탕" w:hAnsi="Times New Roman" w:cs="Times New Roman"/>
          <w:sz w:val="26"/>
          <w:szCs w:val="26"/>
        </w:rPr>
        <w:t xml:space="preserve">The </w:t>
      </w:r>
      <w:r w:rsidR="00860E9C" w:rsidRPr="00DE3DAA">
        <w:rPr>
          <w:rFonts w:ascii="Times New Roman" w:eastAsia="바탕" w:hAnsi="Times New Roman" w:cs="Times New Roman"/>
          <w:sz w:val="26"/>
          <w:szCs w:val="26"/>
        </w:rPr>
        <w:t>ten</w:t>
      </w:r>
      <w:r w:rsidR="00CA207B" w:rsidRPr="00DE3DAA">
        <w:rPr>
          <w:rFonts w:ascii="Times New Roman" w:eastAsia="바탕" w:hAnsi="Times New Roman" w:cs="Times New Roman"/>
          <w:sz w:val="26"/>
          <w:szCs w:val="26"/>
        </w:rPr>
        <w:t xml:space="preserve">dency of the </w:t>
      </w:r>
      <w:r w:rsidRPr="00DE3DAA">
        <w:rPr>
          <w:rFonts w:ascii="Times New Roman" w:eastAsia="바탕" w:hAnsi="Times New Roman" w:cs="Times New Roman"/>
          <w:sz w:val="26"/>
          <w:szCs w:val="26"/>
        </w:rPr>
        <w:t xml:space="preserve">first Blair government </w:t>
      </w:r>
      <w:r w:rsidR="00CA207B" w:rsidRPr="00DE3DAA">
        <w:rPr>
          <w:rFonts w:ascii="Times New Roman" w:eastAsia="바탕" w:hAnsi="Times New Roman" w:cs="Times New Roman"/>
          <w:sz w:val="26"/>
          <w:szCs w:val="26"/>
        </w:rPr>
        <w:t>to pursue an ostensibly prog</w:t>
      </w:r>
      <w:r w:rsidR="00631B10" w:rsidRPr="00DE3DAA">
        <w:rPr>
          <w:rFonts w:ascii="Times New Roman" w:eastAsia="바탕" w:hAnsi="Times New Roman" w:cs="Times New Roman"/>
          <w:sz w:val="26"/>
          <w:szCs w:val="26"/>
        </w:rPr>
        <w:t>r</w:t>
      </w:r>
      <w:r w:rsidR="00CA207B" w:rsidRPr="00DE3DAA">
        <w:rPr>
          <w:rFonts w:ascii="Times New Roman" w:eastAsia="바탕" w:hAnsi="Times New Roman" w:cs="Times New Roman"/>
          <w:sz w:val="26"/>
          <w:szCs w:val="26"/>
        </w:rPr>
        <w:t>essive but nevertheless increasingly cautious approach to the expansion of workers’ protections was also</w:t>
      </w:r>
      <w:r w:rsidR="00631B10" w:rsidRPr="00DE3DAA">
        <w:rPr>
          <w:rFonts w:ascii="Times New Roman" w:eastAsia="바탕" w:hAnsi="Times New Roman" w:cs="Times New Roman"/>
          <w:sz w:val="26"/>
          <w:szCs w:val="26"/>
        </w:rPr>
        <w:t xml:space="preserve"> remarked</w:t>
      </w:r>
      <w:r w:rsidR="00CA207B" w:rsidRPr="00DE3DAA">
        <w:rPr>
          <w:rFonts w:ascii="Times New Roman" w:eastAsia="바탕" w:hAnsi="Times New Roman" w:cs="Times New Roman"/>
          <w:sz w:val="26"/>
          <w:szCs w:val="26"/>
        </w:rPr>
        <w:t xml:space="preserve"> with regard to the recognition of human and equality rights in personal work relations.</w:t>
      </w:r>
      <w:r w:rsidR="00645D20" w:rsidRPr="00DE3DAA">
        <w:rPr>
          <w:rStyle w:val="ae"/>
          <w:rFonts w:ascii="Times New Roman" w:eastAsia="바탕" w:hAnsi="Times New Roman" w:cs="Times New Roman"/>
          <w:sz w:val="26"/>
          <w:szCs w:val="26"/>
        </w:rPr>
        <w:footnoteReference w:id="412"/>
      </w:r>
      <w:r w:rsidR="00631B10" w:rsidRPr="00DE3DAA">
        <w:rPr>
          <w:rFonts w:ascii="Times New Roman" w:eastAsia="바탕" w:hAnsi="Times New Roman" w:cs="Times New Roman"/>
          <w:sz w:val="26"/>
          <w:szCs w:val="26"/>
        </w:rPr>
        <w:t xml:space="preserve"> There were the set of relevant </w:t>
      </w:r>
      <w:r w:rsidR="00631B10" w:rsidRPr="00DE3DAA">
        <w:rPr>
          <w:rFonts w:ascii="Times New Roman" w:eastAsia="바탕" w:hAnsi="Times New Roman" w:cs="Times New Roman"/>
          <w:sz w:val="26"/>
          <w:szCs w:val="26"/>
        </w:rPr>
        <w:lastRenderedPageBreak/>
        <w:t xml:space="preserve">measures during this period including the Human Rights Act 1998, the Public Interest Disclosure Act 1998 and a group of measures specifically affecting privacy in and in relation to the workplace. </w:t>
      </w:r>
      <w:r w:rsidR="008E6969" w:rsidRPr="00DE3DAA">
        <w:rPr>
          <w:rFonts w:ascii="Times New Roman" w:eastAsia="바탕" w:hAnsi="Times New Roman" w:cs="Times New Roman"/>
          <w:sz w:val="26"/>
          <w:szCs w:val="26"/>
        </w:rPr>
        <w:t xml:space="preserve">Even though the proposal for a Human Rights Act, which would render the principal Articles of the European Convention of Human Rights directly justiciable in the British courts, was of </w:t>
      </w:r>
      <w:r w:rsidR="002C1299" w:rsidRPr="00DE3DAA">
        <w:rPr>
          <w:rFonts w:ascii="Times New Roman" w:eastAsia="바탕" w:hAnsi="Times New Roman" w:cs="Times New Roman"/>
          <w:sz w:val="26"/>
          <w:szCs w:val="26"/>
        </w:rPr>
        <w:t>significant</w:t>
      </w:r>
      <w:r w:rsidR="008E6969" w:rsidRPr="00DE3DAA">
        <w:rPr>
          <w:rFonts w:ascii="Times New Roman" w:eastAsia="바탕" w:hAnsi="Times New Roman" w:cs="Times New Roman"/>
          <w:sz w:val="26"/>
          <w:szCs w:val="26"/>
        </w:rPr>
        <w:t xml:space="preserve"> potential </w:t>
      </w:r>
      <w:r w:rsidR="002C1299" w:rsidRPr="00DE3DAA">
        <w:rPr>
          <w:rFonts w:ascii="Times New Roman" w:eastAsia="바탕" w:hAnsi="Times New Roman" w:cs="Times New Roman"/>
          <w:sz w:val="26"/>
          <w:szCs w:val="26"/>
        </w:rPr>
        <w:t>importance</w:t>
      </w:r>
      <w:r w:rsidR="008E6969" w:rsidRPr="00DE3DAA">
        <w:rPr>
          <w:rFonts w:ascii="Times New Roman" w:eastAsia="바탕" w:hAnsi="Times New Roman" w:cs="Times New Roman"/>
          <w:sz w:val="26"/>
          <w:szCs w:val="26"/>
        </w:rPr>
        <w:t xml:space="preserve"> </w:t>
      </w:r>
      <w:r w:rsidR="002C1299" w:rsidRPr="00DE3DAA">
        <w:rPr>
          <w:rFonts w:ascii="Times New Roman" w:eastAsia="바탕" w:hAnsi="Times New Roman" w:cs="Times New Roman"/>
          <w:sz w:val="26"/>
          <w:szCs w:val="26"/>
        </w:rPr>
        <w:t>in terms of per</w:t>
      </w:r>
      <w:r w:rsidR="008E6969" w:rsidRPr="00DE3DAA">
        <w:rPr>
          <w:rFonts w:ascii="Times New Roman" w:eastAsia="바탕" w:hAnsi="Times New Roman" w:cs="Times New Roman"/>
          <w:sz w:val="26"/>
          <w:szCs w:val="26"/>
        </w:rPr>
        <w:t>sonal work relations</w:t>
      </w:r>
      <w:r w:rsidR="002C1299" w:rsidRPr="00DE3DAA">
        <w:rPr>
          <w:rFonts w:ascii="Times New Roman" w:eastAsia="바탕" w:hAnsi="Times New Roman" w:cs="Times New Roman"/>
          <w:sz w:val="26"/>
          <w:szCs w:val="26"/>
        </w:rPr>
        <w:t xml:space="preserve"> regulation</w:t>
      </w:r>
      <w:r w:rsidR="008E6969" w:rsidRPr="00DE3DAA">
        <w:rPr>
          <w:rFonts w:ascii="Times New Roman" w:eastAsia="바탕" w:hAnsi="Times New Roman" w:cs="Times New Roman"/>
          <w:sz w:val="26"/>
          <w:szCs w:val="26"/>
        </w:rPr>
        <w:t xml:space="preserve">, there is little sign that the government wished to </w:t>
      </w:r>
      <w:proofErr w:type="spellStart"/>
      <w:r w:rsidR="008E6969" w:rsidRPr="00DE3DAA">
        <w:rPr>
          <w:rFonts w:ascii="Times New Roman" w:eastAsia="바탕" w:hAnsi="Times New Roman" w:cs="Times New Roman"/>
          <w:sz w:val="26"/>
          <w:szCs w:val="26"/>
        </w:rPr>
        <w:t>maximise</w:t>
      </w:r>
      <w:proofErr w:type="spellEnd"/>
      <w:r w:rsidR="008E6969" w:rsidRPr="00DE3DAA">
        <w:rPr>
          <w:rFonts w:ascii="Times New Roman" w:eastAsia="바탕" w:hAnsi="Times New Roman" w:cs="Times New Roman"/>
          <w:sz w:val="26"/>
          <w:szCs w:val="26"/>
        </w:rPr>
        <w:t xml:space="preserve"> that impact either in substantive or presentational terms</w:t>
      </w:r>
      <w:r w:rsidR="002C1299" w:rsidRPr="00DE3DAA">
        <w:rPr>
          <w:rFonts w:ascii="Times New Roman" w:eastAsia="바탕" w:hAnsi="Times New Roman" w:cs="Times New Roman"/>
          <w:sz w:val="26"/>
          <w:szCs w:val="26"/>
        </w:rPr>
        <w:t>.</w:t>
      </w:r>
      <w:r w:rsidR="00645D20" w:rsidRPr="00DE3DAA">
        <w:rPr>
          <w:rStyle w:val="ae"/>
          <w:rFonts w:ascii="Times New Roman" w:eastAsia="바탕" w:hAnsi="Times New Roman" w:cs="Times New Roman"/>
          <w:sz w:val="26"/>
          <w:szCs w:val="26"/>
        </w:rPr>
        <w:footnoteReference w:id="413"/>
      </w:r>
      <w:r w:rsidR="002C1299" w:rsidRPr="00DE3DAA">
        <w:rPr>
          <w:rFonts w:ascii="Times New Roman" w:eastAsia="바탕" w:hAnsi="Times New Roman" w:cs="Times New Roman"/>
          <w:sz w:val="26"/>
          <w:szCs w:val="26"/>
        </w:rPr>
        <w:t xml:space="preserve"> Neither</w:t>
      </w:r>
      <w:r w:rsidR="008E6969" w:rsidRPr="00DE3DAA">
        <w:rPr>
          <w:rFonts w:ascii="Times New Roman" w:eastAsia="바탕" w:hAnsi="Times New Roman" w:cs="Times New Roman"/>
          <w:sz w:val="26"/>
          <w:szCs w:val="26"/>
        </w:rPr>
        <w:t xml:space="preserve"> </w:t>
      </w:r>
      <w:r w:rsidR="008E6969" w:rsidRPr="00DE3DAA">
        <w:rPr>
          <w:rFonts w:ascii="Times New Roman" w:eastAsia="바탕" w:hAnsi="Times New Roman" w:cs="Times New Roman"/>
          <w:i/>
          <w:sz w:val="26"/>
          <w:szCs w:val="26"/>
        </w:rPr>
        <w:t>Fairness at Work</w:t>
      </w:r>
      <w:r w:rsidR="008E6969" w:rsidRPr="00DE3DAA">
        <w:rPr>
          <w:rFonts w:ascii="Times New Roman" w:eastAsia="바탕" w:hAnsi="Times New Roman" w:cs="Times New Roman"/>
          <w:sz w:val="26"/>
          <w:szCs w:val="26"/>
        </w:rPr>
        <w:t xml:space="preserve"> no</w:t>
      </w:r>
      <w:r w:rsidR="005D50AD" w:rsidRPr="00DE3DAA">
        <w:rPr>
          <w:rFonts w:ascii="Times New Roman" w:eastAsia="바탕" w:hAnsi="Times New Roman" w:cs="Times New Roman"/>
          <w:sz w:val="26"/>
          <w:szCs w:val="26"/>
        </w:rPr>
        <w:t>r</w:t>
      </w:r>
      <w:r w:rsidR="008E6969" w:rsidRPr="00DE3DAA">
        <w:rPr>
          <w:rFonts w:ascii="Times New Roman" w:eastAsia="바탕" w:hAnsi="Times New Roman" w:cs="Times New Roman"/>
          <w:sz w:val="26"/>
          <w:szCs w:val="26"/>
        </w:rPr>
        <w:t xml:space="preserve"> the Home Office White P</w:t>
      </w:r>
      <w:r w:rsidR="005D50AD" w:rsidRPr="00DE3DAA">
        <w:rPr>
          <w:rFonts w:ascii="Times New Roman" w:eastAsia="바탕" w:hAnsi="Times New Roman" w:cs="Times New Roman"/>
          <w:sz w:val="26"/>
          <w:szCs w:val="26"/>
        </w:rPr>
        <w:t>ap</w:t>
      </w:r>
      <w:r w:rsidR="008E6969" w:rsidRPr="00DE3DAA">
        <w:rPr>
          <w:rFonts w:ascii="Times New Roman" w:eastAsia="바탕" w:hAnsi="Times New Roman" w:cs="Times New Roman"/>
          <w:sz w:val="26"/>
          <w:szCs w:val="26"/>
        </w:rPr>
        <w:t xml:space="preserve">er </w:t>
      </w:r>
      <w:r w:rsidR="008E6969" w:rsidRPr="00DE3DAA">
        <w:rPr>
          <w:rFonts w:ascii="Times New Roman" w:eastAsia="바탕" w:hAnsi="Times New Roman" w:cs="Times New Roman"/>
          <w:i/>
          <w:sz w:val="26"/>
          <w:szCs w:val="26"/>
        </w:rPr>
        <w:t>Rights Brought Home</w:t>
      </w:r>
      <w:r w:rsidR="00645D20" w:rsidRPr="00DE3DAA">
        <w:rPr>
          <w:rStyle w:val="ae"/>
          <w:rFonts w:ascii="Times New Roman" w:eastAsia="바탕" w:hAnsi="Times New Roman" w:cs="Times New Roman"/>
          <w:i/>
          <w:sz w:val="26"/>
          <w:szCs w:val="26"/>
        </w:rPr>
        <w:footnoteReference w:id="414"/>
      </w:r>
      <w:r w:rsidR="008E6969" w:rsidRPr="00DE3DAA">
        <w:rPr>
          <w:rFonts w:ascii="Times New Roman" w:eastAsia="바탕" w:hAnsi="Times New Roman" w:cs="Times New Roman"/>
          <w:sz w:val="26"/>
          <w:szCs w:val="26"/>
        </w:rPr>
        <w:t xml:space="preserve">, which </w:t>
      </w:r>
      <w:r w:rsidR="005D50AD" w:rsidRPr="00DE3DAA">
        <w:rPr>
          <w:rFonts w:ascii="Times New Roman" w:eastAsia="바탕" w:hAnsi="Times New Roman" w:cs="Times New Roman"/>
          <w:sz w:val="26"/>
          <w:szCs w:val="26"/>
        </w:rPr>
        <w:t xml:space="preserve">introduced and consulted about the Human Rights Bill, did express any such aspiration. In addition, </w:t>
      </w:r>
      <w:r w:rsidR="00EF52CF" w:rsidRPr="00DE3DAA">
        <w:rPr>
          <w:rFonts w:ascii="Times New Roman" w:eastAsia="바탕" w:hAnsi="Times New Roman" w:cs="Times New Roman"/>
          <w:sz w:val="26"/>
          <w:szCs w:val="26"/>
        </w:rPr>
        <w:t xml:space="preserve">it cannot be </w:t>
      </w:r>
      <w:r w:rsidR="000300C8" w:rsidRPr="00DE3DAA">
        <w:rPr>
          <w:rFonts w:ascii="Times New Roman" w:eastAsia="바탕" w:hAnsi="Times New Roman" w:cs="Times New Roman"/>
          <w:sz w:val="26"/>
          <w:szCs w:val="26"/>
        </w:rPr>
        <w:t>regarded</w:t>
      </w:r>
      <w:r w:rsidR="00EF52CF" w:rsidRPr="00DE3DAA">
        <w:rPr>
          <w:rFonts w:ascii="Times New Roman" w:eastAsia="바탕" w:hAnsi="Times New Roman" w:cs="Times New Roman"/>
          <w:sz w:val="26"/>
          <w:szCs w:val="26"/>
        </w:rPr>
        <w:t xml:space="preserve"> unfair</w:t>
      </w:r>
      <w:r w:rsidR="005D50AD" w:rsidRPr="00DE3DAA">
        <w:rPr>
          <w:rFonts w:ascii="Times New Roman" w:eastAsia="바탕" w:hAnsi="Times New Roman" w:cs="Times New Roman"/>
          <w:sz w:val="26"/>
          <w:szCs w:val="26"/>
        </w:rPr>
        <w:t xml:space="preserve"> to assert that part of the agenda of ‘bringing rights home’ was to ensure that those rights could be developed by the British judiciary in a more controlled an</w:t>
      </w:r>
      <w:r w:rsidR="008E4E72" w:rsidRPr="00DE3DAA">
        <w:rPr>
          <w:rFonts w:ascii="Times New Roman" w:eastAsia="바탕" w:hAnsi="Times New Roman" w:cs="Times New Roman"/>
          <w:sz w:val="26"/>
          <w:szCs w:val="26"/>
        </w:rPr>
        <w:t xml:space="preserve">d </w:t>
      </w:r>
      <w:r w:rsidR="005D50AD" w:rsidRPr="00DE3DAA">
        <w:rPr>
          <w:rFonts w:ascii="Times New Roman" w:eastAsia="바탕" w:hAnsi="Times New Roman" w:cs="Times New Roman"/>
          <w:sz w:val="26"/>
          <w:szCs w:val="26"/>
        </w:rPr>
        <w:t>locally contextual way than by the European Court of Human Rights, and that the government</w:t>
      </w:r>
      <w:r w:rsidR="008E4E72" w:rsidRPr="00DE3DAA">
        <w:rPr>
          <w:rFonts w:ascii="Times New Roman" w:eastAsia="바탕" w:hAnsi="Times New Roman" w:cs="Times New Roman"/>
          <w:sz w:val="26"/>
          <w:szCs w:val="26"/>
        </w:rPr>
        <w:t xml:space="preserve"> would have welcomed that prospect of judicial moderation and self-restraint not least in the sphere of personal work relations.</w:t>
      </w:r>
      <w:r w:rsidR="00645D20" w:rsidRPr="00DE3DAA">
        <w:rPr>
          <w:rStyle w:val="ae"/>
          <w:rFonts w:ascii="Times New Roman" w:eastAsia="바탕" w:hAnsi="Times New Roman" w:cs="Times New Roman"/>
          <w:sz w:val="26"/>
          <w:szCs w:val="26"/>
        </w:rPr>
        <w:footnoteReference w:id="415"/>
      </w:r>
      <w:r w:rsidR="000300C8" w:rsidRPr="00DE3DAA">
        <w:rPr>
          <w:rFonts w:ascii="Times New Roman" w:eastAsia="바탕" w:hAnsi="Times New Roman" w:cs="Times New Roman"/>
          <w:sz w:val="26"/>
          <w:szCs w:val="26"/>
        </w:rPr>
        <w:t xml:space="preserve"> </w:t>
      </w:r>
      <w:r w:rsidR="009C6E7F" w:rsidRPr="00DE3DAA">
        <w:rPr>
          <w:rFonts w:ascii="Times New Roman" w:eastAsia="바탕" w:hAnsi="Times New Roman" w:cs="Times New Roman"/>
          <w:sz w:val="26"/>
          <w:szCs w:val="26"/>
        </w:rPr>
        <w:t>In addition, the Private Member’s Bill enacted as the Public Interest Disclosure Act 1998</w:t>
      </w:r>
      <w:r w:rsidR="005E08ED" w:rsidRPr="00DE3DAA">
        <w:rPr>
          <w:rFonts w:ascii="Times New Roman" w:eastAsia="바탕" w:hAnsi="Times New Roman" w:cs="Times New Roman"/>
          <w:sz w:val="26"/>
          <w:szCs w:val="26"/>
        </w:rPr>
        <w:t xml:space="preserve"> which protects ‘whistle blowers’,</w:t>
      </w:r>
      <w:r w:rsidR="00CA6911" w:rsidRPr="00DE3DAA">
        <w:rPr>
          <w:rFonts w:ascii="Times New Roman" w:eastAsia="바탕" w:hAnsi="Times New Roman" w:cs="Times New Roman"/>
          <w:sz w:val="26"/>
          <w:szCs w:val="26"/>
        </w:rPr>
        <w:t xml:space="preserve"> namely</w:t>
      </w:r>
      <w:r w:rsidR="005E08ED" w:rsidRPr="00DE3DAA">
        <w:rPr>
          <w:rFonts w:ascii="Times New Roman" w:eastAsia="바탕" w:hAnsi="Times New Roman" w:cs="Times New Roman"/>
          <w:sz w:val="26"/>
          <w:szCs w:val="26"/>
        </w:rPr>
        <w:t xml:space="preserve"> </w:t>
      </w:r>
      <w:r w:rsidR="00CA6911" w:rsidRPr="00DE3DAA">
        <w:rPr>
          <w:rFonts w:ascii="Times New Roman" w:eastAsia="바탕" w:hAnsi="Times New Roman" w:cs="Times New Roman"/>
          <w:sz w:val="26"/>
          <w:szCs w:val="26"/>
        </w:rPr>
        <w:t xml:space="preserve">the </w:t>
      </w:r>
      <w:r w:rsidR="005E08ED" w:rsidRPr="00DE3DAA">
        <w:rPr>
          <w:rFonts w:ascii="Times New Roman" w:eastAsia="바탕" w:hAnsi="Times New Roman" w:cs="Times New Roman"/>
          <w:sz w:val="26"/>
          <w:szCs w:val="26"/>
        </w:rPr>
        <w:t xml:space="preserve">workers who denounce illegality or malpractice in their employing enterprises, was </w:t>
      </w:r>
      <w:r w:rsidR="00CA6911" w:rsidRPr="00DE3DAA">
        <w:rPr>
          <w:rFonts w:ascii="Times New Roman" w:eastAsia="바탕" w:hAnsi="Times New Roman" w:cs="Times New Roman"/>
          <w:sz w:val="26"/>
          <w:szCs w:val="26"/>
        </w:rPr>
        <w:t xml:space="preserve">promoted </w:t>
      </w:r>
      <w:r w:rsidR="005E08ED" w:rsidRPr="00DE3DAA">
        <w:rPr>
          <w:rFonts w:ascii="Times New Roman" w:eastAsia="바탕" w:hAnsi="Times New Roman" w:cs="Times New Roman"/>
          <w:sz w:val="26"/>
          <w:szCs w:val="26"/>
        </w:rPr>
        <w:t xml:space="preserve">not by any simple or general impulse to enhance the fundamental rights of workers, but rather by the sense that it was necessary to do so </w:t>
      </w:r>
      <w:r w:rsidR="00CA6911" w:rsidRPr="00DE3DAA">
        <w:rPr>
          <w:rFonts w:ascii="Times New Roman" w:eastAsia="바탕" w:hAnsi="Times New Roman" w:cs="Times New Roman"/>
          <w:sz w:val="26"/>
          <w:szCs w:val="26"/>
        </w:rPr>
        <w:t>in the particular regard</w:t>
      </w:r>
      <w:r w:rsidR="005E08ED" w:rsidRPr="00DE3DAA">
        <w:rPr>
          <w:rFonts w:ascii="Times New Roman" w:eastAsia="바탕" w:hAnsi="Times New Roman" w:cs="Times New Roman"/>
          <w:sz w:val="26"/>
          <w:szCs w:val="26"/>
        </w:rPr>
        <w:t xml:space="preserve"> in order that workers would be incentivized to act, or at least not be deterred from acting, in pursuit of a general public interest in the disclosure of corporate misconduct.</w:t>
      </w:r>
      <w:r w:rsidR="00645D20" w:rsidRPr="00DE3DAA">
        <w:rPr>
          <w:rStyle w:val="ae"/>
          <w:rFonts w:ascii="Times New Roman" w:eastAsia="바탕" w:hAnsi="Times New Roman" w:cs="Times New Roman"/>
          <w:sz w:val="26"/>
          <w:szCs w:val="26"/>
        </w:rPr>
        <w:footnoteReference w:id="416"/>
      </w:r>
      <w:r w:rsidR="00FD097C" w:rsidRPr="00DE3DAA">
        <w:rPr>
          <w:rFonts w:ascii="Times New Roman" w:eastAsia="바탕" w:hAnsi="Times New Roman" w:cs="Times New Roman"/>
          <w:sz w:val="26"/>
          <w:szCs w:val="26"/>
        </w:rPr>
        <w:t xml:space="preserve"> T</w:t>
      </w:r>
      <w:r w:rsidR="009C5898" w:rsidRPr="00DE3DAA">
        <w:rPr>
          <w:rFonts w:ascii="Times New Roman" w:eastAsia="바탕" w:hAnsi="Times New Roman" w:cs="Times New Roman"/>
          <w:sz w:val="26"/>
          <w:szCs w:val="26"/>
        </w:rPr>
        <w:t xml:space="preserve">his specially protected category within the law of unfair dismissal and of detriment inflicted upon workers </w:t>
      </w:r>
      <w:r w:rsidR="000F4A42" w:rsidRPr="00DE3DAA">
        <w:rPr>
          <w:rFonts w:ascii="Times New Roman" w:eastAsia="바탕" w:hAnsi="Times New Roman" w:cs="Times New Roman"/>
          <w:sz w:val="26"/>
          <w:szCs w:val="26"/>
        </w:rPr>
        <w:t>by employing them</w:t>
      </w:r>
      <w:r w:rsidR="00A01764" w:rsidRPr="00DE3DAA">
        <w:rPr>
          <w:rFonts w:ascii="Times New Roman" w:eastAsia="바탕" w:hAnsi="Times New Roman" w:cs="Times New Roman"/>
          <w:sz w:val="26"/>
          <w:szCs w:val="26"/>
        </w:rPr>
        <w:t xml:space="preserve"> was</w:t>
      </w:r>
      <w:r w:rsidR="000F4A42" w:rsidRPr="00DE3DAA">
        <w:rPr>
          <w:rFonts w:ascii="Times New Roman" w:eastAsia="바탕" w:hAnsi="Times New Roman" w:cs="Times New Roman"/>
          <w:sz w:val="26"/>
          <w:szCs w:val="26"/>
        </w:rPr>
        <w:t xml:space="preserve"> </w:t>
      </w:r>
      <w:r w:rsidR="00FD097C" w:rsidRPr="00DE3DAA">
        <w:rPr>
          <w:rFonts w:ascii="Times New Roman" w:eastAsia="바탕" w:hAnsi="Times New Roman" w:cs="Times New Roman"/>
          <w:sz w:val="26"/>
          <w:szCs w:val="26"/>
        </w:rPr>
        <w:t>created in the context of rather special reasons and a rather unusual alliance of interest around.</w:t>
      </w:r>
      <w:r w:rsidR="00645D20" w:rsidRPr="00DE3DAA">
        <w:rPr>
          <w:rStyle w:val="ae"/>
          <w:rFonts w:ascii="Times New Roman" w:eastAsia="바탕" w:hAnsi="Times New Roman" w:cs="Times New Roman"/>
          <w:sz w:val="26"/>
          <w:szCs w:val="26"/>
        </w:rPr>
        <w:footnoteReference w:id="417"/>
      </w:r>
      <w:r w:rsidR="00FD097C" w:rsidRPr="00DE3DAA">
        <w:rPr>
          <w:rFonts w:ascii="Times New Roman" w:eastAsia="바탕" w:hAnsi="Times New Roman" w:cs="Times New Roman"/>
          <w:sz w:val="26"/>
          <w:szCs w:val="26"/>
        </w:rPr>
        <w:t xml:space="preserve"> For a government, this legislation was, </w:t>
      </w:r>
      <w:r w:rsidR="00FD097C" w:rsidRPr="00DE3DAA">
        <w:rPr>
          <w:rFonts w:ascii="Times New Roman" w:eastAsia="바탕" w:hAnsi="Times New Roman" w:cs="Times New Roman"/>
          <w:sz w:val="26"/>
          <w:szCs w:val="26"/>
        </w:rPr>
        <w:lastRenderedPageBreak/>
        <w:t>for those special reasons, relatively readily reconcilable with its underlying aspiration of maintaining managerial adaptability</w:t>
      </w:r>
      <w:r w:rsidR="00915022" w:rsidRPr="00DE3DAA">
        <w:rPr>
          <w:rFonts w:ascii="Times New Roman" w:eastAsia="바탕" w:hAnsi="Times New Roman" w:cs="Times New Roman"/>
          <w:sz w:val="26"/>
          <w:szCs w:val="26"/>
        </w:rPr>
        <w:t xml:space="preserve"> because this measure could be considered as making a particularly positive contribution to the quality and efficiency of enterprise management which justified the rigidity which it might be seen as imposing upon managerial disciplinary powers to protect corporate confidentiality.</w:t>
      </w:r>
      <w:r w:rsidR="00645D20" w:rsidRPr="00DE3DAA">
        <w:rPr>
          <w:rStyle w:val="ae"/>
          <w:rFonts w:ascii="Times New Roman" w:eastAsia="바탕" w:hAnsi="Times New Roman" w:cs="Times New Roman"/>
          <w:sz w:val="26"/>
          <w:szCs w:val="26"/>
        </w:rPr>
        <w:footnoteReference w:id="418"/>
      </w:r>
      <w:r w:rsidR="006C3649" w:rsidRPr="00DE3DAA">
        <w:rPr>
          <w:rFonts w:ascii="Times New Roman" w:eastAsia="바탕" w:hAnsi="Times New Roman" w:cs="Times New Roman"/>
          <w:sz w:val="26"/>
          <w:szCs w:val="26"/>
        </w:rPr>
        <w:t xml:space="preserve"> It can be said that while t</w:t>
      </w:r>
      <w:r w:rsidR="00255EA9" w:rsidRPr="00DE3DAA">
        <w:rPr>
          <w:rFonts w:ascii="Times New Roman" w:eastAsia="바탕" w:hAnsi="Times New Roman" w:cs="Times New Roman"/>
          <w:sz w:val="26"/>
          <w:szCs w:val="26"/>
        </w:rPr>
        <w:t xml:space="preserve">he balance of interests was rather differently perceived by the government in the matter of legislative protection of the privacy of workers in the workplace and in relation to their employment more </w:t>
      </w:r>
      <w:r w:rsidR="006C3649" w:rsidRPr="00DE3DAA">
        <w:rPr>
          <w:rFonts w:ascii="Times New Roman" w:eastAsia="바탕" w:hAnsi="Times New Roman" w:cs="Times New Roman"/>
          <w:sz w:val="26"/>
          <w:szCs w:val="26"/>
        </w:rPr>
        <w:t>in general,</w:t>
      </w:r>
      <w:r w:rsidR="00255EA9" w:rsidRPr="00DE3DAA">
        <w:rPr>
          <w:rFonts w:ascii="Times New Roman" w:eastAsia="바탕" w:hAnsi="Times New Roman" w:cs="Times New Roman"/>
          <w:sz w:val="26"/>
          <w:szCs w:val="26"/>
        </w:rPr>
        <w:t xml:space="preserve"> the concern to maintain managerial adaptability in an untrammeled state was a more </w:t>
      </w:r>
      <w:r w:rsidR="006C3649" w:rsidRPr="00DE3DAA">
        <w:rPr>
          <w:rFonts w:ascii="Times New Roman" w:eastAsia="바탕" w:hAnsi="Times New Roman" w:cs="Times New Roman"/>
          <w:sz w:val="26"/>
          <w:szCs w:val="26"/>
        </w:rPr>
        <w:t xml:space="preserve">persistent </w:t>
      </w:r>
      <w:r w:rsidR="00255EA9" w:rsidRPr="00DE3DAA">
        <w:rPr>
          <w:rFonts w:ascii="Times New Roman" w:eastAsia="바탕" w:hAnsi="Times New Roman" w:cs="Times New Roman"/>
          <w:sz w:val="26"/>
          <w:szCs w:val="26"/>
        </w:rPr>
        <w:t>one.</w:t>
      </w:r>
      <w:r w:rsidR="00645D20" w:rsidRPr="00DE3DAA">
        <w:rPr>
          <w:rStyle w:val="ae"/>
          <w:rFonts w:ascii="Times New Roman" w:eastAsia="바탕" w:hAnsi="Times New Roman" w:cs="Times New Roman"/>
          <w:sz w:val="26"/>
          <w:szCs w:val="26"/>
        </w:rPr>
        <w:footnoteReference w:id="419"/>
      </w:r>
      <w:r w:rsidR="009935DE" w:rsidRPr="00DE3DAA">
        <w:rPr>
          <w:rFonts w:ascii="Times New Roman" w:eastAsia="바탕" w:hAnsi="Times New Roman" w:cs="Times New Roman"/>
          <w:sz w:val="26"/>
          <w:szCs w:val="26"/>
        </w:rPr>
        <w:t xml:space="preserve"> As elaborated above, the most prominent developments</w:t>
      </w:r>
      <w:r w:rsidR="00FE55C9" w:rsidRPr="00DE3DAA">
        <w:rPr>
          <w:rFonts w:ascii="Times New Roman" w:eastAsia="바탕" w:hAnsi="Times New Roman" w:cs="Times New Roman"/>
          <w:sz w:val="26"/>
          <w:szCs w:val="26"/>
        </w:rPr>
        <w:t xml:space="preserve"> in terms of human and equality rights in personal work relations during this period </w:t>
      </w:r>
      <w:r w:rsidR="009935DE" w:rsidRPr="00DE3DAA">
        <w:rPr>
          <w:rFonts w:ascii="Times New Roman" w:eastAsia="바탕" w:hAnsi="Times New Roman" w:cs="Times New Roman"/>
          <w:sz w:val="26"/>
          <w:szCs w:val="26"/>
        </w:rPr>
        <w:t xml:space="preserve">would be the incorporation of ECHR Article 8 (on respect for private and family life) into UK law by the Human Rights Act 1998, and the implementation in the UK of the Data Protection Directive of 1993 </w:t>
      </w:r>
      <w:r w:rsidR="00645D20" w:rsidRPr="00DE3DAA">
        <w:rPr>
          <w:rStyle w:val="ae"/>
          <w:rFonts w:ascii="Times New Roman" w:eastAsia="바탕" w:hAnsi="Times New Roman" w:cs="Times New Roman"/>
          <w:sz w:val="26"/>
          <w:szCs w:val="26"/>
        </w:rPr>
        <w:footnoteReference w:id="420"/>
      </w:r>
      <w:r w:rsidR="009935DE" w:rsidRPr="00DE3DAA">
        <w:rPr>
          <w:rFonts w:ascii="Times New Roman" w:eastAsia="바탕" w:hAnsi="Times New Roman" w:cs="Times New Roman"/>
          <w:sz w:val="26"/>
          <w:szCs w:val="26"/>
        </w:rPr>
        <w:t>by the Data Protection Act of 1998.</w:t>
      </w:r>
      <w:r w:rsidR="00FE55C9" w:rsidRPr="00DE3DAA">
        <w:rPr>
          <w:rFonts w:ascii="Times New Roman" w:eastAsia="바탕" w:hAnsi="Times New Roman" w:cs="Times New Roman"/>
          <w:sz w:val="26"/>
          <w:szCs w:val="26"/>
        </w:rPr>
        <w:t xml:space="preserve"> However, there have been arguments </w:t>
      </w:r>
      <w:proofErr w:type="gramStart"/>
      <w:r w:rsidR="00FE55C9" w:rsidRPr="00DE3DAA">
        <w:rPr>
          <w:rFonts w:ascii="Times New Roman" w:eastAsia="바탕" w:hAnsi="Times New Roman" w:cs="Times New Roman"/>
          <w:sz w:val="26"/>
          <w:szCs w:val="26"/>
        </w:rPr>
        <w:t>with regard to</w:t>
      </w:r>
      <w:proofErr w:type="gramEnd"/>
      <w:r w:rsidR="00FE55C9" w:rsidRPr="00DE3DAA">
        <w:rPr>
          <w:rFonts w:ascii="Times New Roman" w:eastAsia="바탕" w:hAnsi="Times New Roman" w:cs="Times New Roman"/>
          <w:sz w:val="26"/>
          <w:szCs w:val="26"/>
        </w:rPr>
        <w:t xml:space="preserve"> the privacy law in relation to employment. Specialist commentators such as John Craig argued that the features of UK legal and political culture which have precluded the emergence of a body of privacy law in relation to employment will continue to make the UK a “divergent”, as opposed to “convergent” jurisdiction [with other countries evolving such a body of law]’.</w:t>
      </w:r>
      <w:r w:rsidR="00645D20" w:rsidRPr="00DE3DAA">
        <w:rPr>
          <w:rStyle w:val="ae"/>
          <w:rFonts w:ascii="Times New Roman" w:eastAsia="바탕" w:hAnsi="Times New Roman" w:cs="Times New Roman"/>
          <w:sz w:val="26"/>
          <w:szCs w:val="26"/>
        </w:rPr>
        <w:footnoteReference w:id="421"/>
      </w:r>
      <w:r w:rsidR="00FE55C9" w:rsidRPr="00DE3DAA">
        <w:rPr>
          <w:rFonts w:ascii="Times New Roman" w:eastAsia="바탕" w:hAnsi="Times New Roman" w:cs="Times New Roman"/>
          <w:sz w:val="26"/>
          <w:szCs w:val="26"/>
        </w:rPr>
        <w:t xml:space="preserve"> Moreover, </w:t>
      </w:r>
      <w:r w:rsidR="00243591" w:rsidRPr="00DE3DAA">
        <w:rPr>
          <w:rFonts w:ascii="Times New Roman" w:eastAsia="바탕" w:hAnsi="Times New Roman" w:cs="Times New Roman"/>
          <w:sz w:val="26"/>
          <w:szCs w:val="26"/>
        </w:rPr>
        <w:t>in subsequent writings of Gillian Morris and Hazel Oliver</w:t>
      </w:r>
      <w:r w:rsidR="0080491D" w:rsidRPr="00DE3DAA">
        <w:rPr>
          <w:rFonts w:ascii="Times New Roman" w:eastAsia="바탕" w:hAnsi="Times New Roman" w:cs="Times New Roman"/>
          <w:sz w:val="26"/>
          <w:szCs w:val="26"/>
        </w:rPr>
        <w:t>, it was demonstrated in different ways the extent to which the UK legislation had left the protection of workers’ privacy vulnerable to waiver by the individual worker, or to reduction or constriction by the way in which personal work contracts are framed by employing enterprises.</w:t>
      </w:r>
      <w:r w:rsidR="00674826" w:rsidRPr="00DE3DAA">
        <w:rPr>
          <w:rStyle w:val="ae"/>
          <w:rFonts w:ascii="Times New Roman" w:eastAsia="바탕" w:hAnsi="Times New Roman" w:cs="Times New Roman"/>
          <w:sz w:val="26"/>
          <w:szCs w:val="26"/>
        </w:rPr>
        <w:footnoteReference w:id="422"/>
      </w:r>
      <w:r w:rsidR="008F781E" w:rsidRPr="00DE3DAA">
        <w:rPr>
          <w:rFonts w:ascii="Times New Roman" w:eastAsia="바탕" w:hAnsi="Times New Roman" w:cs="Times New Roman"/>
          <w:sz w:val="26"/>
          <w:szCs w:val="26"/>
        </w:rPr>
        <w:t xml:space="preserve"> </w:t>
      </w:r>
      <w:r w:rsidR="006472B8" w:rsidRPr="00DE3DAA">
        <w:rPr>
          <w:rFonts w:ascii="Times New Roman" w:eastAsia="바탕" w:hAnsi="Times New Roman" w:cs="Times New Roman"/>
          <w:sz w:val="26"/>
          <w:szCs w:val="26"/>
        </w:rPr>
        <w:t>Furthermore, it</w:t>
      </w:r>
      <w:r w:rsidR="00F401EB" w:rsidRPr="00DE3DAA">
        <w:rPr>
          <w:rFonts w:ascii="Times New Roman" w:eastAsia="바탕" w:hAnsi="Times New Roman" w:cs="Times New Roman"/>
          <w:sz w:val="26"/>
          <w:szCs w:val="26"/>
        </w:rPr>
        <w:t xml:space="preserve"> could be argued that the </w:t>
      </w:r>
      <w:r w:rsidR="00F401EB" w:rsidRPr="00DE3DAA">
        <w:rPr>
          <w:rFonts w:ascii="Times New Roman" w:eastAsia="바탕" w:hAnsi="Times New Roman" w:cs="Times New Roman"/>
          <w:sz w:val="26"/>
          <w:szCs w:val="26"/>
        </w:rPr>
        <w:lastRenderedPageBreak/>
        <w:t>government’s particular vision of managerial adaptability would induce a special concern to ensure that employing enterprises would retain a full capacity to take advantage of advances in information technology in maximizing their capacity to monito</w:t>
      </w:r>
      <w:r w:rsidR="00ED31B2" w:rsidRPr="00DE3DAA">
        <w:rPr>
          <w:rFonts w:ascii="Times New Roman" w:eastAsia="바탕" w:hAnsi="Times New Roman" w:cs="Times New Roman"/>
          <w:sz w:val="26"/>
          <w:szCs w:val="26"/>
        </w:rPr>
        <w:t>r, and so more efficiently manage the performance of their workers.</w:t>
      </w:r>
      <w:r w:rsidR="00674826" w:rsidRPr="00DE3DAA">
        <w:rPr>
          <w:rStyle w:val="ae"/>
          <w:rFonts w:ascii="Times New Roman" w:eastAsia="바탕" w:hAnsi="Times New Roman" w:cs="Times New Roman"/>
          <w:sz w:val="26"/>
          <w:szCs w:val="26"/>
        </w:rPr>
        <w:footnoteReference w:id="423"/>
      </w:r>
      <w:r w:rsidR="00ED31B2" w:rsidRPr="00DE3DAA">
        <w:rPr>
          <w:rFonts w:ascii="Times New Roman" w:eastAsia="바탕" w:hAnsi="Times New Roman" w:cs="Times New Roman"/>
          <w:sz w:val="26"/>
          <w:szCs w:val="26"/>
        </w:rPr>
        <w:t xml:space="preserve"> This was manifested in the legislation which implemented the EC Directive of 1997 regarding the processing of personal data and the protection of privacy in the telecommunications sector.</w:t>
      </w:r>
      <w:r w:rsidR="00674826" w:rsidRPr="00DE3DAA">
        <w:rPr>
          <w:rStyle w:val="ae"/>
          <w:rFonts w:ascii="Times New Roman" w:eastAsia="바탕" w:hAnsi="Times New Roman" w:cs="Times New Roman"/>
          <w:sz w:val="26"/>
          <w:szCs w:val="26"/>
        </w:rPr>
        <w:footnoteReference w:id="424"/>
      </w:r>
      <w:r w:rsidR="00ED31B2" w:rsidRPr="00DE3DAA">
        <w:rPr>
          <w:rFonts w:ascii="Times New Roman" w:eastAsia="바탕" w:hAnsi="Times New Roman" w:cs="Times New Roman"/>
          <w:sz w:val="26"/>
          <w:szCs w:val="26"/>
        </w:rPr>
        <w:t xml:space="preserve"> This implementation was effected by the Regulation of Investigatory Powers Act 2000</w:t>
      </w:r>
      <w:r w:rsidR="00674826" w:rsidRPr="00DE3DAA">
        <w:rPr>
          <w:rStyle w:val="ae"/>
          <w:rFonts w:ascii="Times New Roman" w:eastAsia="바탕" w:hAnsi="Times New Roman" w:cs="Times New Roman"/>
          <w:sz w:val="26"/>
          <w:szCs w:val="26"/>
        </w:rPr>
        <w:footnoteReference w:id="425"/>
      </w:r>
      <w:r w:rsidR="00ED31B2" w:rsidRPr="00DE3DAA">
        <w:rPr>
          <w:rFonts w:ascii="Times New Roman" w:eastAsia="바탕" w:hAnsi="Times New Roman" w:cs="Times New Roman"/>
          <w:sz w:val="26"/>
          <w:szCs w:val="26"/>
        </w:rPr>
        <w:t>, which were strongly and positively protective of managerial practices of electronic monitoring and surveillance, both in public and in private employment.</w:t>
      </w:r>
      <w:r w:rsidR="009E5FBA" w:rsidRPr="00DE3DAA">
        <w:rPr>
          <w:rStyle w:val="ae"/>
          <w:rFonts w:ascii="Times New Roman" w:eastAsia="바탕" w:hAnsi="Times New Roman" w:cs="Times New Roman"/>
          <w:sz w:val="26"/>
          <w:szCs w:val="26"/>
        </w:rPr>
        <w:footnoteReference w:id="426"/>
      </w:r>
    </w:p>
    <w:p w14:paraId="769DBCB3" w14:textId="3029156D" w:rsidR="00ED31B2" w:rsidRPr="00DE3DAA" w:rsidRDefault="00ED31B2" w:rsidP="00F04349">
      <w:pPr>
        <w:pStyle w:val="a3"/>
        <w:ind w:leftChars="0" w:left="1520"/>
        <w:rPr>
          <w:rFonts w:ascii="Times New Roman" w:eastAsia="바탕" w:hAnsi="Times New Roman" w:cs="Times New Roman"/>
          <w:sz w:val="26"/>
          <w:szCs w:val="26"/>
        </w:rPr>
      </w:pPr>
    </w:p>
    <w:p w14:paraId="20BD5AE8" w14:textId="3D168E9C" w:rsidR="001C0A00" w:rsidRPr="00DE3DAA" w:rsidRDefault="00C33EFB" w:rsidP="00F04349">
      <w:pPr>
        <w:pStyle w:val="a3"/>
        <w:ind w:leftChars="0" w:left="1520"/>
        <w:rPr>
          <w:rFonts w:ascii="Times New Roman" w:eastAsia="바탕" w:hAnsi="Times New Roman" w:cs="Times New Roman"/>
          <w:sz w:val="26"/>
          <w:szCs w:val="26"/>
        </w:rPr>
      </w:pPr>
      <w:r w:rsidRPr="00DE3DAA">
        <w:rPr>
          <w:rFonts w:ascii="Times New Roman" w:eastAsia="바탕" w:hAnsi="Times New Roman" w:cs="Times New Roman"/>
          <w:sz w:val="26"/>
          <w:szCs w:val="26"/>
        </w:rPr>
        <w:t>c.</w:t>
      </w:r>
      <w:r w:rsidR="00A14ED7" w:rsidRPr="00DE3DAA">
        <w:rPr>
          <w:rFonts w:ascii="Times New Roman" w:eastAsia="바탕" w:hAnsi="Times New Roman" w:cs="Times New Roman"/>
          <w:sz w:val="26"/>
          <w:szCs w:val="26"/>
        </w:rPr>
        <w:t xml:space="preserve"> Modifying legislation to non-standard employment</w:t>
      </w:r>
    </w:p>
    <w:p w14:paraId="454CAF3E" w14:textId="29EBC0BB" w:rsidR="00A14ED7" w:rsidRPr="00DE3DAA" w:rsidRDefault="00A14ED7" w:rsidP="00F04349">
      <w:pPr>
        <w:pStyle w:val="a3"/>
        <w:ind w:leftChars="0" w:left="1520"/>
        <w:rPr>
          <w:rFonts w:ascii="Times New Roman" w:eastAsia="바탕" w:hAnsi="Times New Roman" w:cs="Times New Roman"/>
          <w:sz w:val="26"/>
          <w:szCs w:val="26"/>
        </w:rPr>
      </w:pPr>
    </w:p>
    <w:p w14:paraId="544D8C4A" w14:textId="70FFE9AB" w:rsidR="00A14ED7" w:rsidRPr="00DE3DAA" w:rsidRDefault="00EE0177" w:rsidP="00F04349">
      <w:pPr>
        <w:pStyle w:val="a3"/>
        <w:ind w:leftChars="0" w:left="1520"/>
        <w:rPr>
          <w:rFonts w:ascii="Times New Roman" w:eastAsia="바탕" w:hAnsi="Times New Roman" w:cs="Times New Roman"/>
          <w:sz w:val="26"/>
          <w:szCs w:val="26"/>
        </w:rPr>
      </w:pPr>
      <w:r w:rsidRPr="00DE3DAA">
        <w:rPr>
          <w:rFonts w:ascii="Times New Roman" w:eastAsia="바탕" w:hAnsi="Times New Roman" w:cs="Times New Roman"/>
          <w:sz w:val="26"/>
          <w:szCs w:val="26"/>
        </w:rPr>
        <w:t>The first Blair government seems to have begun with a real enthusiasm for the enlargement of the personal scope of its major worker-protective measures</w:t>
      </w:r>
      <w:r w:rsidR="00231743" w:rsidRPr="00DE3DAA">
        <w:rPr>
          <w:rFonts w:ascii="Times New Roman" w:eastAsia="바탕" w:hAnsi="Times New Roman" w:cs="Times New Roman"/>
          <w:sz w:val="26"/>
          <w:szCs w:val="26"/>
        </w:rPr>
        <w:t xml:space="preserve"> especially with regard to</w:t>
      </w:r>
      <w:r w:rsidR="004D6AEA" w:rsidRPr="00DE3DAA">
        <w:rPr>
          <w:rFonts w:ascii="Times New Roman" w:eastAsia="바탕" w:hAnsi="Times New Roman" w:cs="Times New Roman"/>
          <w:sz w:val="26"/>
          <w:szCs w:val="26"/>
        </w:rPr>
        <w:t xml:space="preserve"> the National Minimum Wage Act and the Working Time Regulations of 1998</w:t>
      </w:r>
      <w:r w:rsidR="00231743" w:rsidRPr="00DE3DAA">
        <w:rPr>
          <w:rFonts w:ascii="Times New Roman" w:eastAsia="바탕" w:hAnsi="Times New Roman" w:cs="Times New Roman"/>
          <w:sz w:val="26"/>
          <w:szCs w:val="26"/>
        </w:rPr>
        <w:t xml:space="preserve"> in that those legislations </w:t>
      </w:r>
      <w:r w:rsidR="004D6AEA" w:rsidRPr="00DE3DAA">
        <w:rPr>
          <w:rFonts w:ascii="Times New Roman" w:eastAsia="바탕" w:hAnsi="Times New Roman" w:cs="Times New Roman"/>
          <w:sz w:val="26"/>
          <w:szCs w:val="26"/>
        </w:rPr>
        <w:t xml:space="preserve">were applied to ‘workers’ rather than to the ‘employees’ to whom the generality of the existing worker-protective legislation applied, with the significant exception of the employment provisions of the legislation </w:t>
      </w:r>
      <w:r w:rsidR="00231743" w:rsidRPr="00DE3DAA">
        <w:rPr>
          <w:rFonts w:ascii="Times New Roman" w:eastAsia="바탕" w:hAnsi="Times New Roman" w:cs="Times New Roman"/>
          <w:sz w:val="26"/>
          <w:szCs w:val="26"/>
        </w:rPr>
        <w:t>relating to sex, race, and disability discrimination, where the very inclusive category of ‘employed persons’ was applicable.</w:t>
      </w:r>
      <w:r w:rsidR="009E5FBA" w:rsidRPr="00DE3DAA">
        <w:rPr>
          <w:rStyle w:val="ae"/>
          <w:rFonts w:ascii="Times New Roman" w:eastAsia="바탕" w:hAnsi="Times New Roman" w:cs="Times New Roman"/>
          <w:sz w:val="26"/>
          <w:szCs w:val="26"/>
        </w:rPr>
        <w:footnoteReference w:id="427"/>
      </w:r>
      <w:r w:rsidR="007710E0" w:rsidRPr="00DE3DAA">
        <w:rPr>
          <w:rFonts w:ascii="Times New Roman" w:eastAsia="바탕" w:hAnsi="Times New Roman" w:cs="Times New Roman"/>
          <w:sz w:val="26"/>
          <w:szCs w:val="26"/>
        </w:rPr>
        <w:t xml:space="preserve"> The </w:t>
      </w:r>
      <w:r w:rsidR="007710E0" w:rsidRPr="00DE3DAA">
        <w:rPr>
          <w:rFonts w:ascii="Times New Roman" w:eastAsia="바탕" w:hAnsi="Times New Roman" w:cs="Times New Roman"/>
          <w:sz w:val="26"/>
          <w:szCs w:val="26"/>
        </w:rPr>
        <w:lastRenderedPageBreak/>
        <w:t>category of ‘workers’ was an intermediate one, apparently intended to bring in nominally self-employed workers who were in fact semi-dependent upon employing enterprises, while still excluding the ‘genuinely self-employed’.</w:t>
      </w:r>
      <w:r w:rsidR="009E5FBA" w:rsidRPr="00DE3DAA">
        <w:rPr>
          <w:rStyle w:val="ae"/>
          <w:rFonts w:ascii="Times New Roman" w:eastAsia="바탕" w:hAnsi="Times New Roman" w:cs="Times New Roman"/>
          <w:sz w:val="26"/>
          <w:szCs w:val="26"/>
        </w:rPr>
        <w:footnoteReference w:id="428"/>
      </w:r>
      <w:r w:rsidR="003B24AC" w:rsidRPr="00DE3DAA">
        <w:rPr>
          <w:rFonts w:ascii="Times New Roman" w:eastAsia="바탕" w:hAnsi="Times New Roman" w:cs="Times New Roman"/>
          <w:sz w:val="26"/>
          <w:szCs w:val="26"/>
        </w:rPr>
        <w:t xml:space="preserve"> </w:t>
      </w:r>
      <w:r w:rsidR="006C7DA5" w:rsidRPr="00DE3DAA">
        <w:rPr>
          <w:rFonts w:ascii="Times New Roman" w:eastAsia="바탕" w:hAnsi="Times New Roman" w:cs="Times New Roman"/>
          <w:sz w:val="26"/>
          <w:szCs w:val="26"/>
        </w:rPr>
        <w:t xml:space="preserve">This </w:t>
      </w:r>
      <w:r w:rsidR="00251A1D" w:rsidRPr="00DE3DAA">
        <w:rPr>
          <w:rFonts w:ascii="Times New Roman" w:eastAsia="바탕" w:hAnsi="Times New Roman" w:cs="Times New Roman"/>
          <w:sz w:val="26"/>
          <w:szCs w:val="26"/>
        </w:rPr>
        <w:t>can explain what was clearly a free choice on the part of the legislators in the case of the National Minimum Wage Act, and was not, even in the case of the Working Time Regulations, a decision which was clearly mandated by the Directives which they were intended to implement.</w:t>
      </w:r>
      <w:r w:rsidR="009E5FBA" w:rsidRPr="00DE3DAA">
        <w:rPr>
          <w:rStyle w:val="ae"/>
          <w:rFonts w:ascii="Times New Roman" w:eastAsia="바탕" w:hAnsi="Times New Roman" w:cs="Times New Roman"/>
          <w:sz w:val="26"/>
          <w:szCs w:val="26"/>
        </w:rPr>
        <w:footnoteReference w:id="429"/>
      </w:r>
      <w:r w:rsidR="00251A1D" w:rsidRPr="00DE3DAA">
        <w:rPr>
          <w:rFonts w:ascii="Times New Roman" w:eastAsia="바탕" w:hAnsi="Times New Roman" w:cs="Times New Roman"/>
          <w:sz w:val="26"/>
          <w:szCs w:val="26"/>
        </w:rPr>
        <w:t xml:space="preserve"> In </w:t>
      </w:r>
      <w:r w:rsidR="00251A1D" w:rsidRPr="00DE3DAA">
        <w:rPr>
          <w:rFonts w:ascii="Times New Roman" w:eastAsia="바탕" w:hAnsi="Times New Roman" w:cs="Times New Roman"/>
          <w:i/>
          <w:sz w:val="26"/>
          <w:szCs w:val="26"/>
        </w:rPr>
        <w:t>Fairness at Work</w:t>
      </w:r>
      <w:r w:rsidR="00251A1D" w:rsidRPr="00DE3DAA">
        <w:rPr>
          <w:rFonts w:ascii="Times New Roman" w:eastAsia="바탕" w:hAnsi="Times New Roman" w:cs="Times New Roman"/>
          <w:sz w:val="26"/>
          <w:szCs w:val="26"/>
        </w:rPr>
        <w:t>, these extensions in</w:t>
      </w:r>
      <w:r w:rsidR="00926775" w:rsidRPr="00DE3DAA">
        <w:rPr>
          <w:rFonts w:ascii="Times New Roman" w:eastAsia="바탕" w:hAnsi="Times New Roman" w:cs="Times New Roman"/>
          <w:sz w:val="26"/>
          <w:szCs w:val="26"/>
        </w:rPr>
        <w:t xml:space="preserve"> personal scope were elaborated as a first step to ‘combine flexibility with fairness in the </w:t>
      </w:r>
      <w:proofErr w:type="spellStart"/>
      <w:r w:rsidR="00926775" w:rsidRPr="00DE3DAA">
        <w:rPr>
          <w:rFonts w:ascii="Times New Roman" w:eastAsia="바탕" w:hAnsi="Times New Roman" w:cs="Times New Roman"/>
          <w:sz w:val="26"/>
          <w:szCs w:val="26"/>
        </w:rPr>
        <w:t>labour</w:t>
      </w:r>
      <w:proofErr w:type="spellEnd"/>
      <w:r w:rsidR="00926775" w:rsidRPr="00DE3DAA">
        <w:rPr>
          <w:rFonts w:ascii="Times New Roman" w:eastAsia="바탕" w:hAnsi="Times New Roman" w:cs="Times New Roman"/>
          <w:sz w:val="26"/>
          <w:szCs w:val="26"/>
        </w:rPr>
        <w:t xml:space="preserve"> market’ by ‘reflecting in employment legislation greater flexibility in both working patterns and contracts’.</w:t>
      </w:r>
      <w:r w:rsidR="009E5FBA" w:rsidRPr="00DE3DAA">
        <w:rPr>
          <w:rStyle w:val="ae"/>
          <w:rFonts w:ascii="Times New Roman" w:eastAsia="바탕" w:hAnsi="Times New Roman" w:cs="Times New Roman"/>
          <w:sz w:val="26"/>
          <w:szCs w:val="26"/>
        </w:rPr>
        <w:footnoteReference w:id="430"/>
      </w:r>
      <w:r w:rsidR="000325EE" w:rsidRPr="00DE3DAA">
        <w:rPr>
          <w:rFonts w:ascii="Times New Roman" w:eastAsia="바탕" w:hAnsi="Times New Roman" w:cs="Times New Roman"/>
          <w:sz w:val="26"/>
          <w:szCs w:val="26"/>
        </w:rPr>
        <w:t xml:space="preserve"> </w:t>
      </w:r>
      <w:r w:rsidR="00F47154" w:rsidRPr="00DE3DAA">
        <w:rPr>
          <w:rFonts w:ascii="Times New Roman" w:eastAsia="바탕" w:hAnsi="Times New Roman" w:cs="Times New Roman"/>
          <w:sz w:val="26"/>
          <w:szCs w:val="26"/>
        </w:rPr>
        <w:t>Also the intention was expressed to ‘consult on the idea of legislation enabling [the Government] similarly to extend the coverage of some or all existing employment rights by regulation’.</w:t>
      </w:r>
      <w:r w:rsidR="009E5FBA" w:rsidRPr="00DE3DAA">
        <w:rPr>
          <w:rStyle w:val="ae"/>
          <w:rFonts w:ascii="Times New Roman" w:eastAsia="바탕" w:hAnsi="Times New Roman" w:cs="Times New Roman"/>
          <w:sz w:val="26"/>
          <w:szCs w:val="26"/>
        </w:rPr>
        <w:footnoteReference w:id="431"/>
      </w:r>
      <w:r w:rsidR="008D730B" w:rsidRPr="00DE3DAA">
        <w:rPr>
          <w:rFonts w:ascii="Times New Roman" w:eastAsia="바탕" w:hAnsi="Times New Roman" w:cs="Times New Roman"/>
          <w:sz w:val="26"/>
          <w:szCs w:val="26"/>
        </w:rPr>
        <w:t xml:space="preserve"> </w:t>
      </w:r>
      <w:r w:rsidR="008A4035" w:rsidRPr="00DE3DAA">
        <w:rPr>
          <w:rFonts w:ascii="Times New Roman" w:eastAsia="바탕" w:hAnsi="Times New Roman" w:cs="Times New Roman"/>
          <w:sz w:val="26"/>
          <w:szCs w:val="26"/>
        </w:rPr>
        <w:t xml:space="preserve">Such powers of variation of the personal scope of existing employment legislation by governmental regulation were indeed </w:t>
      </w:r>
      <w:r w:rsidR="00B65415" w:rsidRPr="00DE3DAA">
        <w:rPr>
          <w:rFonts w:ascii="Times New Roman" w:eastAsia="바탕" w:hAnsi="Times New Roman" w:cs="Times New Roman"/>
          <w:sz w:val="26"/>
          <w:szCs w:val="26"/>
        </w:rPr>
        <w:t>pursued</w:t>
      </w:r>
      <w:r w:rsidR="008A4035" w:rsidRPr="00DE3DAA">
        <w:rPr>
          <w:rFonts w:ascii="Times New Roman" w:eastAsia="바탕" w:hAnsi="Times New Roman" w:cs="Times New Roman"/>
          <w:sz w:val="26"/>
          <w:szCs w:val="26"/>
        </w:rPr>
        <w:t>, and were conferred by the Employment Relations Act 1999</w:t>
      </w:r>
      <w:r w:rsidR="00B65415" w:rsidRPr="00DE3DAA">
        <w:rPr>
          <w:rFonts w:ascii="Times New Roman" w:eastAsia="바탕" w:hAnsi="Times New Roman" w:cs="Times New Roman"/>
          <w:sz w:val="26"/>
          <w:szCs w:val="26"/>
        </w:rPr>
        <w:t>,</w:t>
      </w:r>
      <w:r w:rsidR="009E5FBA" w:rsidRPr="00DE3DAA">
        <w:rPr>
          <w:rStyle w:val="ae"/>
          <w:rFonts w:ascii="Times New Roman" w:eastAsia="바탕" w:hAnsi="Times New Roman" w:cs="Times New Roman"/>
          <w:sz w:val="26"/>
          <w:szCs w:val="26"/>
        </w:rPr>
        <w:footnoteReference w:id="432"/>
      </w:r>
      <w:r w:rsidR="00B65415" w:rsidRPr="00DE3DAA">
        <w:rPr>
          <w:rFonts w:ascii="Times New Roman" w:eastAsia="바탕" w:hAnsi="Times New Roman" w:cs="Times New Roman"/>
          <w:sz w:val="26"/>
          <w:szCs w:val="26"/>
        </w:rPr>
        <w:t xml:space="preserve"> but</w:t>
      </w:r>
      <w:r w:rsidR="00AA1F84" w:rsidRPr="00DE3DAA">
        <w:rPr>
          <w:rFonts w:ascii="Times New Roman" w:eastAsia="바탕" w:hAnsi="Times New Roman" w:cs="Times New Roman"/>
          <w:sz w:val="26"/>
          <w:szCs w:val="26"/>
        </w:rPr>
        <w:t xml:space="preserve"> the driving force seems to have been lost for this particular kind of extension of employment law, so that those powers</w:t>
      </w:r>
      <w:r w:rsidR="00BA1370" w:rsidRPr="00DE3DAA">
        <w:rPr>
          <w:rFonts w:ascii="Times New Roman" w:eastAsia="바탕" w:hAnsi="Times New Roman" w:cs="Times New Roman"/>
          <w:sz w:val="26"/>
          <w:szCs w:val="26"/>
        </w:rPr>
        <w:t xml:space="preserve"> was known to have not</w:t>
      </w:r>
      <w:r w:rsidR="00AA1F84" w:rsidRPr="00DE3DAA">
        <w:rPr>
          <w:rFonts w:ascii="Times New Roman" w:eastAsia="바탕" w:hAnsi="Times New Roman" w:cs="Times New Roman"/>
          <w:sz w:val="26"/>
          <w:szCs w:val="26"/>
        </w:rPr>
        <w:t xml:space="preserve"> </w:t>
      </w:r>
      <w:r w:rsidR="00BA1370" w:rsidRPr="00DE3DAA">
        <w:rPr>
          <w:rFonts w:ascii="Times New Roman" w:eastAsia="바탕" w:hAnsi="Times New Roman" w:cs="Times New Roman"/>
          <w:sz w:val="26"/>
          <w:szCs w:val="26"/>
        </w:rPr>
        <w:t xml:space="preserve">been </w:t>
      </w:r>
      <w:r w:rsidR="00AA1F84" w:rsidRPr="00DE3DAA">
        <w:rPr>
          <w:rFonts w:ascii="Times New Roman" w:eastAsia="바탕" w:hAnsi="Times New Roman" w:cs="Times New Roman"/>
          <w:sz w:val="26"/>
          <w:szCs w:val="26"/>
        </w:rPr>
        <w:t>exercised even by the end of the second term in government of the Blair administration.</w:t>
      </w:r>
      <w:r w:rsidR="009E5FBA" w:rsidRPr="00DE3DAA">
        <w:rPr>
          <w:rStyle w:val="ae"/>
          <w:rFonts w:ascii="Times New Roman" w:eastAsia="바탕" w:hAnsi="Times New Roman" w:cs="Times New Roman"/>
          <w:sz w:val="26"/>
          <w:szCs w:val="26"/>
        </w:rPr>
        <w:footnoteReference w:id="433"/>
      </w:r>
      <w:r w:rsidR="00143343" w:rsidRPr="00DE3DAA">
        <w:rPr>
          <w:rFonts w:ascii="Times New Roman" w:eastAsia="바탕" w:hAnsi="Times New Roman" w:cs="Times New Roman"/>
          <w:sz w:val="26"/>
          <w:szCs w:val="26"/>
        </w:rPr>
        <w:t xml:space="preserve"> </w:t>
      </w:r>
      <w:r w:rsidR="009C5928" w:rsidRPr="00DE3DAA">
        <w:rPr>
          <w:rFonts w:ascii="Times New Roman" w:eastAsia="바탕" w:hAnsi="Times New Roman" w:cs="Times New Roman"/>
          <w:sz w:val="26"/>
          <w:szCs w:val="26"/>
        </w:rPr>
        <w:lastRenderedPageBreak/>
        <w:t>Even a hardening of an anti-regulatory impulse seems to have occurred in the course of the implementation in the UK of the Part-time Work Directive of 1997,</w:t>
      </w:r>
      <w:r w:rsidR="009E5FBA" w:rsidRPr="00DE3DAA">
        <w:rPr>
          <w:rStyle w:val="ae"/>
          <w:rFonts w:ascii="Times New Roman" w:eastAsia="바탕" w:hAnsi="Times New Roman" w:cs="Times New Roman"/>
          <w:sz w:val="26"/>
          <w:szCs w:val="26"/>
        </w:rPr>
        <w:footnoteReference w:id="434"/>
      </w:r>
      <w:r w:rsidR="009C5928" w:rsidRPr="00DE3DAA">
        <w:rPr>
          <w:rFonts w:ascii="Times New Roman" w:eastAsia="바탕" w:hAnsi="Times New Roman" w:cs="Times New Roman"/>
          <w:sz w:val="26"/>
          <w:szCs w:val="26"/>
        </w:rPr>
        <w:t xml:space="preserve"> a product of the Social Dialogue process of Community legislation. It was the first of what it was hoped might be a series of such Directives creating equality or parity rights </w:t>
      </w:r>
      <w:r w:rsidR="001065E1" w:rsidRPr="00DE3DAA">
        <w:rPr>
          <w:rFonts w:ascii="Times New Roman" w:eastAsia="바탕" w:hAnsi="Times New Roman" w:cs="Times New Roman"/>
          <w:sz w:val="26"/>
          <w:szCs w:val="26"/>
        </w:rPr>
        <w:t>with ‘standard workers’ for all the main types of ‘non-standard workers’.</w:t>
      </w:r>
      <w:r w:rsidR="009E5FBA" w:rsidRPr="00DE3DAA">
        <w:rPr>
          <w:rStyle w:val="ae"/>
          <w:rFonts w:ascii="Times New Roman" w:eastAsia="바탕" w:hAnsi="Times New Roman" w:cs="Times New Roman"/>
          <w:sz w:val="26"/>
          <w:szCs w:val="26"/>
        </w:rPr>
        <w:footnoteReference w:id="435"/>
      </w:r>
      <w:r w:rsidR="001065E1" w:rsidRPr="00DE3DAA">
        <w:rPr>
          <w:rFonts w:ascii="Times New Roman" w:eastAsia="바탕" w:hAnsi="Times New Roman" w:cs="Times New Roman"/>
          <w:sz w:val="26"/>
          <w:szCs w:val="26"/>
        </w:rPr>
        <w:t xml:space="preserve"> In the course of consultations by the DTI about the implementation of the Directive in the UK, a very considerable attenuation seems to have taken place with rega</w:t>
      </w:r>
      <w:r w:rsidR="00F272D7" w:rsidRPr="00DE3DAA">
        <w:rPr>
          <w:rFonts w:ascii="Times New Roman" w:eastAsia="바탕" w:hAnsi="Times New Roman" w:cs="Times New Roman"/>
          <w:sz w:val="26"/>
          <w:szCs w:val="26"/>
        </w:rPr>
        <w:t>r</w:t>
      </w:r>
      <w:r w:rsidR="003F64E3" w:rsidRPr="00DE3DAA">
        <w:rPr>
          <w:rFonts w:ascii="Times New Roman" w:eastAsia="바탕" w:hAnsi="Times New Roman" w:cs="Times New Roman"/>
          <w:sz w:val="26"/>
          <w:szCs w:val="26"/>
        </w:rPr>
        <w:t xml:space="preserve">d to no less </w:t>
      </w:r>
      <w:proofErr w:type="spellStart"/>
      <w:r w:rsidR="003F64E3" w:rsidRPr="00DE3DAA">
        <w:rPr>
          <w:rFonts w:ascii="Times New Roman" w:eastAsia="바탕" w:hAnsi="Times New Roman" w:cs="Times New Roman"/>
          <w:sz w:val="26"/>
          <w:szCs w:val="26"/>
        </w:rPr>
        <w:t>favourable</w:t>
      </w:r>
      <w:proofErr w:type="spellEnd"/>
      <w:r w:rsidR="003F64E3" w:rsidRPr="00DE3DAA">
        <w:rPr>
          <w:rFonts w:ascii="Times New Roman" w:eastAsia="바탕" w:hAnsi="Times New Roman" w:cs="Times New Roman"/>
          <w:sz w:val="26"/>
          <w:szCs w:val="26"/>
        </w:rPr>
        <w:t xml:space="preserve"> treatment which was conferred upon part-time workers</w:t>
      </w:r>
      <w:r w:rsidR="00F272D7" w:rsidRPr="00DE3DAA">
        <w:rPr>
          <w:rFonts w:ascii="Times New Roman" w:eastAsia="바탕" w:hAnsi="Times New Roman" w:cs="Times New Roman"/>
          <w:sz w:val="26"/>
          <w:szCs w:val="26"/>
        </w:rPr>
        <w:t>.</w:t>
      </w:r>
      <w:r w:rsidR="009E5FBA" w:rsidRPr="00DE3DAA">
        <w:rPr>
          <w:rStyle w:val="ae"/>
          <w:rFonts w:ascii="Times New Roman" w:eastAsia="바탕" w:hAnsi="Times New Roman" w:cs="Times New Roman"/>
          <w:sz w:val="26"/>
          <w:szCs w:val="26"/>
        </w:rPr>
        <w:footnoteReference w:id="436"/>
      </w:r>
      <w:r w:rsidR="00FF763B" w:rsidRPr="00DE3DAA">
        <w:rPr>
          <w:rFonts w:ascii="Times New Roman" w:eastAsia="바탕" w:hAnsi="Times New Roman" w:cs="Times New Roman"/>
          <w:sz w:val="26"/>
          <w:szCs w:val="26"/>
        </w:rPr>
        <w:t xml:space="preserve"> In the implementing Regulations, as finally enacted, an apparent earlier intention to confine the Regulations to ‘employees’ was </w:t>
      </w:r>
      <w:r w:rsidR="000C71B0" w:rsidRPr="00DE3DAA">
        <w:rPr>
          <w:rFonts w:ascii="Times New Roman" w:eastAsia="바탕" w:hAnsi="Times New Roman" w:cs="Times New Roman"/>
          <w:sz w:val="26"/>
          <w:szCs w:val="26"/>
        </w:rPr>
        <w:t xml:space="preserve">replaced </w:t>
      </w:r>
      <w:r w:rsidR="00FF763B" w:rsidRPr="00DE3DAA">
        <w:rPr>
          <w:rFonts w:ascii="Times New Roman" w:eastAsia="바탕" w:hAnsi="Times New Roman" w:cs="Times New Roman"/>
          <w:sz w:val="26"/>
          <w:szCs w:val="26"/>
        </w:rPr>
        <w:t>by a decision to extend them to the whole larger category of ‘workers’.</w:t>
      </w:r>
      <w:r w:rsidR="009E5FBA" w:rsidRPr="00DE3DAA">
        <w:rPr>
          <w:rStyle w:val="ae"/>
          <w:rFonts w:ascii="Times New Roman" w:eastAsia="바탕" w:hAnsi="Times New Roman" w:cs="Times New Roman"/>
          <w:sz w:val="26"/>
          <w:szCs w:val="26"/>
        </w:rPr>
        <w:footnoteReference w:id="437"/>
      </w:r>
      <w:r w:rsidR="00FF763B" w:rsidRPr="00DE3DAA">
        <w:rPr>
          <w:rFonts w:ascii="Times New Roman" w:eastAsia="바탕" w:hAnsi="Times New Roman" w:cs="Times New Roman"/>
          <w:sz w:val="26"/>
          <w:szCs w:val="26"/>
        </w:rPr>
        <w:t xml:space="preserve"> </w:t>
      </w:r>
      <w:r w:rsidR="000C71B0" w:rsidRPr="00DE3DAA">
        <w:rPr>
          <w:rFonts w:ascii="Times New Roman" w:eastAsia="바탕" w:hAnsi="Times New Roman" w:cs="Times New Roman"/>
          <w:sz w:val="26"/>
          <w:szCs w:val="26"/>
        </w:rPr>
        <w:t xml:space="preserve">However, in a move which more than counter-balanced that extension, a provision was introduced </w:t>
      </w:r>
      <w:r w:rsidR="009E5FBA" w:rsidRPr="00DE3DAA">
        <w:rPr>
          <w:rStyle w:val="ae"/>
          <w:rFonts w:ascii="Times New Roman" w:eastAsia="바탕" w:hAnsi="Times New Roman" w:cs="Times New Roman"/>
          <w:sz w:val="26"/>
          <w:szCs w:val="26"/>
        </w:rPr>
        <w:footnoteReference w:id="438"/>
      </w:r>
      <w:r w:rsidR="000C71B0" w:rsidRPr="00DE3DAA">
        <w:rPr>
          <w:rFonts w:ascii="Times New Roman" w:eastAsia="바탕" w:hAnsi="Times New Roman" w:cs="Times New Roman"/>
          <w:sz w:val="26"/>
          <w:szCs w:val="26"/>
        </w:rPr>
        <w:t>which severely fragmented this larger category</w:t>
      </w:r>
      <w:r w:rsidR="009E5FBA" w:rsidRPr="00DE3DAA">
        <w:rPr>
          <w:rStyle w:val="ae"/>
          <w:rFonts w:ascii="Times New Roman" w:eastAsia="바탕" w:hAnsi="Times New Roman" w:cs="Times New Roman"/>
          <w:sz w:val="26"/>
          <w:szCs w:val="26"/>
        </w:rPr>
        <w:footnoteReference w:id="439"/>
      </w:r>
      <w:r w:rsidR="000C71B0" w:rsidRPr="00DE3DAA">
        <w:rPr>
          <w:rFonts w:ascii="Times New Roman" w:eastAsia="바탕" w:hAnsi="Times New Roman" w:cs="Times New Roman"/>
          <w:sz w:val="26"/>
          <w:szCs w:val="26"/>
        </w:rPr>
        <w:t xml:space="preserve"> and limited the comparators who could be </w:t>
      </w:r>
      <w:r w:rsidR="000C71B0" w:rsidRPr="00DE3DAA">
        <w:rPr>
          <w:rFonts w:ascii="Times New Roman" w:eastAsia="바탕" w:hAnsi="Times New Roman" w:cs="Times New Roman"/>
          <w:sz w:val="26"/>
          <w:szCs w:val="26"/>
        </w:rPr>
        <w:lastRenderedPageBreak/>
        <w:t>invoked by particular types of part-time workers within the category.</w:t>
      </w:r>
      <w:r w:rsidR="009E5FBA" w:rsidRPr="00DE3DAA">
        <w:rPr>
          <w:rStyle w:val="ae"/>
          <w:rFonts w:ascii="Times New Roman" w:eastAsia="바탕" w:hAnsi="Times New Roman" w:cs="Times New Roman"/>
          <w:sz w:val="26"/>
          <w:szCs w:val="26"/>
        </w:rPr>
        <w:footnoteReference w:id="440"/>
      </w:r>
      <w:r w:rsidR="00C63A59" w:rsidRPr="00DE3DAA">
        <w:rPr>
          <w:rFonts w:ascii="Times New Roman" w:eastAsia="바탕" w:hAnsi="Times New Roman" w:cs="Times New Roman"/>
          <w:sz w:val="26"/>
          <w:szCs w:val="26"/>
        </w:rPr>
        <w:t xml:space="preserve"> </w:t>
      </w:r>
      <w:r w:rsidR="00762E1E" w:rsidRPr="00DE3DAA">
        <w:rPr>
          <w:rFonts w:ascii="Times New Roman" w:eastAsia="바탕" w:hAnsi="Times New Roman" w:cs="Times New Roman"/>
          <w:sz w:val="26"/>
          <w:szCs w:val="26"/>
        </w:rPr>
        <w:t>At that time</w:t>
      </w:r>
      <w:r w:rsidR="00C63A59" w:rsidRPr="00DE3DAA">
        <w:rPr>
          <w:rFonts w:ascii="Times New Roman" w:eastAsia="바탕" w:hAnsi="Times New Roman" w:cs="Times New Roman"/>
          <w:sz w:val="26"/>
          <w:szCs w:val="26"/>
        </w:rPr>
        <w:t xml:space="preserve">, the </w:t>
      </w:r>
      <w:proofErr w:type="spellStart"/>
      <w:r w:rsidR="00C63A59" w:rsidRPr="00DE3DAA">
        <w:rPr>
          <w:rFonts w:ascii="Times New Roman" w:eastAsia="바탕" w:hAnsi="Times New Roman" w:cs="Times New Roman"/>
          <w:sz w:val="26"/>
          <w:szCs w:val="26"/>
        </w:rPr>
        <w:t>programme</w:t>
      </w:r>
      <w:proofErr w:type="spellEnd"/>
      <w:r w:rsidR="00C63A59" w:rsidRPr="00DE3DAA">
        <w:rPr>
          <w:rFonts w:ascii="Times New Roman" w:eastAsia="바탕" w:hAnsi="Times New Roman" w:cs="Times New Roman"/>
          <w:sz w:val="26"/>
          <w:szCs w:val="26"/>
        </w:rPr>
        <w:t xml:space="preserve"> of modification of t</w:t>
      </w:r>
      <w:r w:rsidR="004016FF" w:rsidRPr="00DE3DAA">
        <w:rPr>
          <w:rFonts w:ascii="Times New Roman" w:eastAsia="바탕" w:hAnsi="Times New Roman" w:cs="Times New Roman"/>
          <w:sz w:val="26"/>
          <w:szCs w:val="26"/>
        </w:rPr>
        <w:t xml:space="preserve">he law of personal work relations in </w:t>
      </w:r>
      <w:proofErr w:type="spellStart"/>
      <w:r w:rsidR="004016FF" w:rsidRPr="00DE3DAA">
        <w:rPr>
          <w:rFonts w:ascii="Times New Roman" w:eastAsia="바탕" w:hAnsi="Times New Roman" w:cs="Times New Roman"/>
          <w:sz w:val="26"/>
          <w:szCs w:val="26"/>
        </w:rPr>
        <w:t>favour</w:t>
      </w:r>
      <w:proofErr w:type="spellEnd"/>
      <w:r w:rsidR="004016FF" w:rsidRPr="00DE3DAA">
        <w:rPr>
          <w:rFonts w:ascii="Times New Roman" w:eastAsia="바탕" w:hAnsi="Times New Roman" w:cs="Times New Roman"/>
          <w:sz w:val="26"/>
          <w:szCs w:val="26"/>
        </w:rPr>
        <w:t xml:space="preserve"> of non-standard workers</w:t>
      </w:r>
      <w:r w:rsidR="00762E1E" w:rsidRPr="00DE3DAA">
        <w:rPr>
          <w:rFonts w:ascii="Times New Roman" w:eastAsia="바탕" w:hAnsi="Times New Roman" w:cs="Times New Roman"/>
          <w:sz w:val="26"/>
          <w:szCs w:val="26"/>
        </w:rPr>
        <w:t xml:space="preserve"> are thought to have failed so </w:t>
      </w:r>
      <w:r w:rsidR="003361F1" w:rsidRPr="00DE3DAA">
        <w:rPr>
          <w:rFonts w:ascii="Times New Roman" w:eastAsia="바탕" w:hAnsi="Times New Roman" w:cs="Times New Roman"/>
          <w:sz w:val="26"/>
          <w:szCs w:val="26"/>
        </w:rPr>
        <w:t>as to protect the government</w:t>
      </w:r>
      <w:r w:rsidR="004016FF" w:rsidRPr="00DE3DAA">
        <w:rPr>
          <w:rFonts w:ascii="Times New Roman" w:eastAsia="바탕" w:hAnsi="Times New Roman" w:cs="Times New Roman"/>
          <w:sz w:val="26"/>
          <w:szCs w:val="26"/>
        </w:rPr>
        <w:t xml:space="preserve">’s particular </w:t>
      </w:r>
      <w:r w:rsidR="003361F1" w:rsidRPr="00DE3DAA">
        <w:rPr>
          <w:rFonts w:ascii="Times New Roman" w:eastAsia="바탕" w:hAnsi="Times New Roman" w:cs="Times New Roman"/>
          <w:sz w:val="26"/>
          <w:szCs w:val="26"/>
        </w:rPr>
        <w:t xml:space="preserve">vision of </w:t>
      </w:r>
      <w:r w:rsidR="004016FF" w:rsidRPr="00DE3DAA">
        <w:rPr>
          <w:rFonts w:ascii="Times New Roman" w:eastAsia="바탕" w:hAnsi="Times New Roman" w:cs="Times New Roman"/>
          <w:sz w:val="26"/>
          <w:szCs w:val="26"/>
        </w:rPr>
        <w:t>managerial adaptability.</w:t>
      </w:r>
      <w:r w:rsidR="009E5FBA" w:rsidRPr="00DE3DAA">
        <w:rPr>
          <w:rStyle w:val="ae"/>
          <w:rFonts w:ascii="Times New Roman" w:eastAsia="바탕" w:hAnsi="Times New Roman" w:cs="Times New Roman"/>
          <w:sz w:val="26"/>
          <w:szCs w:val="26"/>
        </w:rPr>
        <w:footnoteReference w:id="441"/>
      </w:r>
    </w:p>
    <w:p w14:paraId="14617369" w14:textId="79953B90" w:rsidR="004016FF" w:rsidRPr="00257ACB" w:rsidRDefault="004016FF" w:rsidP="00F04349">
      <w:pPr>
        <w:pStyle w:val="a3"/>
        <w:ind w:leftChars="0" w:left="1520"/>
        <w:rPr>
          <w:rFonts w:ascii="Times New Roman" w:eastAsia="바탕" w:hAnsi="Times New Roman" w:cs="Times New Roman"/>
          <w:sz w:val="26"/>
          <w:szCs w:val="26"/>
        </w:rPr>
      </w:pPr>
    </w:p>
    <w:p w14:paraId="4AA39834" w14:textId="501AF92A" w:rsidR="00C33EFB" w:rsidRPr="00257ACB" w:rsidRDefault="00C33EFB" w:rsidP="00C33EFB">
      <w:pPr>
        <w:pStyle w:val="a3"/>
        <w:numPr>
          <w:ilvl w:val="0"/>
          <w:numId w:val="19"/>
        </w:numPr>
        <w:ind w:leftChars="0"/>
        <w:rPr>
          <w:rFonts w:ascii="Times New Roman" w:hAnsi="Times New Roman" w:cs="Times New Roman"/>
          <w:sz w:val="26"/>
          <w:szCs w:val="26"/>
        </w:rPr>
      </w:pPr>
      <w:r w:rsidRPr="00257ACB">
        <w:rPr>
          <w:rFonts w:ascii="Times New Roman" w:hAnsi="Times New Roman" w:cs="Times New Roman"/>
          <w:sz w:val="26"/>
          <w:szCs w:val="26"/>
        </w:rPr>
        <w:t>The second phase of the Blair administration, from 2001 onwards</w:t>
      </w:r>
    </w:p>
    <w:p w14:paraId="1CBF9E53" w14:textId="7E299490" w:rsidR="003449D1" w:rsidRPr="00257ACB" w:rsidRDefault="003449D1" w:rsidP="003449D1">
      <w:pPr>
        <w:pStyle w:val="a3"/>
        <w:ind w:leftChars="0" w:left="1640"/>
        <w:rPr>
          <w:rFonts w:ascii="Times New Roman" w:hAnsi="Times New Roman" w:cs="Times New Roman"/>
          <w:sz w:val="26"/>
          <w:szCs w:val="26"/>
        </w:rPr>
      </w:pPr>
    </w:p>
    <w:p w14:paraId="0C111044" w14:textId="63E076C0" w:rsidR="00DD763B" w:rsidRPr="00257ACB" w:rsidRDefault="00F931CE" w:rsidP="00F04349">
      <w:pPr>
        <w:pStyle w:val="a3"/>
        <w:ind w:leftChars="0" w:left="1520"/>
        <w:rPr>
          <w:rFonts w:ascii="Times New Roman" w:eastAsia="바탕" w:hAnsi="Times New Roman" w:cs="Times New Roman"/>
          <w:sz w:val="26"/>
          <w:szCs w:val="26"/>
        </w:rPr>
      </w:pPr>
      <w:r w:rsidRPr="00257ACB">
        <w:rPr>
          <w:rFonts w:ascii="Times New Roman" w:hAnsi="Times New Roman" w:cs="Times New Roman"/>
          <w:sz w:val="26"/>
          <w:szCs w:val="26"/>
        </w:rPr>
        <w:t xml:space="preserve">As mentioned above, </w:t>
      </w:r>
      <w:r w:rsidR="00681647" w:rsidRPr="00257ACB">
        <w:rPr>
          <w:rFonts w:ascii="Times New Roman" w:hAnsi="Times New Roman" w:cs="Times New Roman"/>
          <w:sz w:val="26"/>
          <w:szCs w:val="26"/>
        </w:rPr>
        <w:t xml:space="preserve">during the first Blair administration, </w:t>
      </w:r>
      <w:r w:rsidRPr="00257ACB">
        <w:rPr>
          <w:rFonts w:ascii="Times New Roman" w:hAnsi="Times New Roman" w:cs="Times New Roman"/>
          <w:sz w:val="26"/>
          <w:szCs w:val="26"/>
        </w:rPr>
        <w:t>the crucial policy direction of public policy in the sphere of individual employment law was mainly the realization of the plan laid out in the White Paper Fairness at Work, for the achievement</w:t>
      </w:r>
      <w:r w:rsidR="00AF5E88" w:rsidRPr="00257ACB">
        <w:rPr>
          <w:rFonts w:ascii="Times New Roman" w:hAnsi="Times New Roman" w:cs="Times New Roman"/>
          <w:sz w:val="26"/>
          <w:szCs w:val="26"/>
        </w:rPr>
        <w:t>s</w:t>
      </w:r>
      <w:r w:rsidRPr="00257ACB">
        <w:rPr>
          <w:rFonts w:ascii="Times New Roman" w:hAnsi="Times New Roman" w:cs="Times New Roman"/>
          <w:sz w:val="26"/>
          <w:szCs w:val="26"/>
        </w:rPr>
        <w:t xml:space="preserve"> of a socially progressive but not excessively re-regulatory closure </w:t>
      </w:r>
      <w:r w:rsidR="00AF5E88" w:rsidRPr="00257ACB">
        <w:rPr>
          <w:rFonts w:ascii="Times New Roman" w:hAnsi="Times New Roman" w:cs="Times New Roman"/>
          <w:sz w:val="26"/>
          <w:szCs w:val="26"/>
        </w:rPr>
        <w:t>u</w:t>
      </w:r>
      <w:r w:rsidRPr="00257ACB">
        <w:rPr>
          <w:rFonts w:ascii="Times New Roman" w:hAnsi="Times New Roman" w:cs="Times New Roman"/>
          <w:sz w:val="26"/>
          <w:szCs w:val="26"/>
        </w:rPr>
        <w:t xml:space="preserve">pon what had </w:t>
      </w:r>
      <w:r w:rsidR="00681647" w:rsidRPr="00257ACB">
        <w:rPr>
          <w:rFonts w:ascii="Times New Roman" w:hAnsi="Times New Roman" w:cs="Times New Roman"/>
          <w:sz w:val="26"/>
          <w:szCs w:val="26"/>
        </w:rPr>
        <w:t>b</w:t>
      </w:r>
      <w:r w:rsidRPr="00257ACB">
        <w:rPr>
          <w:rFonts w:ascii="Times New Roman" w:hAnsi="Times New Roman" w:cs="Times New Roman"/>
          <w:sz w:val="26"/>
          <w:szCs w:val="26"/>
        </w:rPr>
        <w:t xml:space="preserve">een a deep conflict between </w:t>
      </w:r>
      <w:r w:rsidR="00681647" w:rsidRPr="00257ACB">
        <w:rPr>
          <w:rFonts w:ascii="Times New Roman" w:hAnsi="Times New Roman" w:cs="Times New Roman"/>
          <w:sz w:val="26"/>
          <w:szCs w:val="26"/>
        </w:rPr>
        <w:t>extremes of legislative policy in this area.</w:t>
      </w:r>
      <w:r w:rsidR="009E5FBA">
        <w:rPr>
          <w:rStyle w:val="ae"/>
          <w:rFonts w:ascii="Times New Roman" w:hAnsi="Times New Roman" w:cs="Times New Roman"/>
          <w:sz w:val="26"/>
          <w:szCs w:val="26"/>
        </w:rPr>
        <w:footnoteReference w:id="442"/>
      </w:r>
      <w:r w:rsidR="00681647" w:rsidRPr="00257ACB">
        <w:rPr>
          <w:rFonts w:ascii="Times New Roman" w:hAnsi="Times New Roman" w:cs="Times New Roman"/>
          <w:sz w:val="26"/>
          <w:szCs w:val="26"/>
        </w:rPr>
        <w:t xml:space="preserve"> During the second phase of the Blair administration, </w:t>
      </w:r>
      <w:r w:rsidR="007A4A91" w:rsidRPr="00257ACB">
        <w:rPr>
          <w:rFonts w:ascii="Times New Roman" w:hAnsi="Times New Roman" w:cs="Times New Roman"/>
          <w:sz w:val="26"/>
          <w:szCs w:val="26"/>
        </w:rPr>
        <w:t xml:space="preserve">rather a significant difference </w:t>
      </w:r>
      <w:r w:rsidR="00694694" w:rsidRPr="00257ACB">
        <w:rPr>
          <w:rFonts w:ascii="Times New Roman" w:hAnsi="Times New Roman" w:cs="Times New Roman"/>
          <w:sz w:val="26"/>
          <w:szCs w:val="26"/>
        </w:rPr>
        <w:t xml:space="preserve">was distinguished </w:t>
      </w:r>
      <w:r w:rsidR="007A4A91" w:rsidRPr="00257ACB">
        <w:rPr>
          <w:rFonts w:ascii="Times New Roman" w:hAnsi="Times New Roman" w:cs="Times New Roman"/>
          <w:sz w:val="26"/>
          <w:szCs w:val="26"/>
        </w:rPr>
        <w:t xml:space="preserve">in the way in which that public policy discourse was </w:t>
      </w:r>
      <w:r w:rsidR="00E17BF2" w:rsidRPr="00257ACB">
        <w:rPr>
          <w:rFonts w:ascii="Times New Roman" w:hAnsi="Times New Roman" w:cs="Times New Roman"/>
          <w:sz w:val="26"/>
          <w:szCs w:val="26"/>
        </w:rPr>
        <w:t>structured</w:t>
      </w:r>
      <w:r w:rsidR="007A4A91" w:rsidRPr="00257ACB">
        <w:rPr>
          <w:rFonts w:ascii="Times New Roman" w:hAnsi="Times New Roman" w:cs="Times New Roman"/>
          <w:sz w:val="26"/>
          <w:szCs w:val="26"/>
        </w:rPr>
        <w:t xml:space="preserve"> </w:t>
      </w:r>
      <w:r w:rsidR="002D0C31" w:rsidRPr="00257ACB">
        <w:rPr>
          <w:rFonts w:ascii="Times New Roman" w:hAnsi="Times New Roman" w:cs="Times New Roman"/>
          <w:sz w:val="26"/>
          <w:szCs w:val="26"/>
        </w:rPr>
        <w:t>compared to</w:t>
      </w:r>
      <w:r w:rsidR="007A4A91" w:rsidRPr="00257ACB">
        <w:rPr>
          <w:rFonts w:ascii="Times New Roman" w:hAnsi="Times New Roman" w:cs="Times New Roman"/>
          <w:sz w:val="26"/>
          <w:szCs w:val="26"/>
        </w:rPr>
        <w:t xml:space="preserve"> th</w:t>
      </w:r>
      <w:r w:rsidR="002D0C31" w:rsidRPr="00257ACB">
        <w:rPr>
          <w:rFonts w:ascii="Times New Roman" w:hAnsi="Times New Roman" w:cs="Times New Roman"/>
          <w:sz w:val="26"/>
          <w:szCs w:val="26"/>
        </w:rPr>
        <w:t xml:space="preserve">at of the </w:t>
      </w:r>
      <w:r w:rsidR="007A4A91" w:rsidRPr="00257ACB">
        <w:rPr>
          <w:rFonts w:ascii="Times New Roman" w:hAnsi="Times New Roman" w:cs="Times New Roman"/>
          <w:sz w:val="26"/>
          <w:szCs w:val="26"/>
        </w:rPr>
        <w:t xml:space="preserve">first phase. </w:t>
      </w:r>
      <w:r w:rsidR="00BC6958" w:rsidRPr="00257ACB">
        <w:rPr>
          <w:rFonts w:ascii="Times New Roman" w:hAnsi="Times New Roman" w:cs="Times New Roman"/>
          <w:sz w:val="26"/>
          <w:szCs w:val="26"/>
        </w:rPr>
        <w:t xml:space="preserve">In </w:t>
      </w:r>
      <w:r w:rsidR="00542106" w:rsidRPr="00257ACB">
        <w:rPr>
          <w:rFonts w:ascii="Times New Roman" w:hAnsi="Times New Roman" w:cs="Times New Roman"/>
          <w:sz w:val="26"/>
          <w:szCs w:val="26"/>
        </w:rPr>
        <w:t>t</w:t>
      </w:r>
      <w:r w:rsidR="007A4A91" w:rsidRPr="00257ACB">
        <w:rPr>
          <w:rFonts w:ascii="Times New Roman" w:hAnsi="Times New Roman" w:cs="Times New Roman"/>
          <w:sz w:val="26"/>
          <w:szCs w:val="26"/>
        </w:rPr>
        <w:t xml:space="preserve">he first period in the Blair administration, it has been </w:t>
      </w:r>
      <w:r w:rsidR="00542106" w:rsidRPr="00257ACB">
        <w:rPr>
          <w:rFonts w:ascii="Times New Roman" w:hAnsi="Times New Roman" w:cs="Times New Roman"/>
          <w:sz w:val="26"/>
          <w:szCs w:val="26"/>
        </w:rPr>
        <w:t xml:space="preserve">shown </w:t>
      </w:r>
      <w:r w:rsidR="007A4A91" w:rsidRPr="00257ACB">
        <w:rPr>
          <w:rFonts w:ascii="Times New Roman" w:hAnsi="Times New Roman" w:cs="Times New Roman"/>
          <w:sz w:val="26"/>
          <w:szCs w:val="26"/>
        </w:rPr>
        <w:t xml:space="preserve">that the public policy discourse for the law of personal work relations, was essentially framed by the White Paper </w:t>
      </w:r>
      <w:r w:rsidR="007A4A91" w:rsidRPr="00257ACB">
        <w:rPr>
          <w:rFonts w:ascii="Times New Roman" w:hAnsi="Times New Roman" w:cs="Times New Roman"/>
          <w:i/>
          <w:sz w:val="26"/>
          <w:szCs w:val="26"/>
        </w:rPr>
        <w:t>Fairness at Work</w:t>
      </w:r>
      <w:r w:rsidR="007A4A91" w:rsidRPr="00257ACB">
        <w:rPr>
          <w:rFonts w:ascii="Times New Roman" w:hAnsi="Times New Roman" w:cs="Times New Roman"/>
          <w:sz w:val="26"/>
          <w:szCs w:val="26"/>
        </w:rPr>
        <w:t xml:space="preserve"> and behind it there was a </w:t>
      </w:r>
      <w:r w:rsidR="00542106" w:rsidRPr="00257ACB">
        <w:rPr>
          <w:rFonts w:ascii="Times New Roman" w:hAnsi="Times New Roman" w:cs="Times New Roman"/>
          <w:sz w:val="26"/>
          <w:szCs w:val="26"/>
        </w:rPr>
        <w:t>larger</w:t>
      </w:r>
      <w:r w:rsidR="007A4A91" w:rsidRPr="00257ACB">
        <w:rPr>
          <w:rFonts w:ascii="Times New Roman" w:hAnsi="Times New Roman" w:cs="Times New Roman"/>
          <w:sz w:val="26"/>
          <w:szCs w:val="26"/>
        </w:rPr>
        <w:t xml:space="preserve"> discourse regarding the competitiveness of the </w:t>
      </w:r>
      <w:proofErr w:type="spellStart"/>
      <w:r w:rsidR="007A4A91" w:rsidRPr="00257ACB">
        <w:rPr>
          <w:rFonts w:ascii="Times New Roman" w:hAnsi="Times New Roman" w:cs="Times New Roman"/>
          <w:sz w:val="26"/>
          <w:szCs w:val="26"/>
        </w:rPr>
        <w:t>labour</w:t>
      </w:r>
      <w:proofErr w:type="spellEnd"/>
      <w:r w:rsidR="007A4A91" w:rsidRPr="00257ACB">
        <w:rPr>
          <w:rFonts w:ascii="Times New Roman" w:hAnsi="Times New Roman" w:cs="Times New Roman"/>
          <w:sz w:val="26"/>
          <w:szCs w:val="26"/>
        </w:rPr>
        <w:t xml:space="preserve"> economy and of enterprise management which is still fairly closely connected with the traditional one of seeking a durable legislative settlement of the conflict between management and </w:t>
      </w:r>
      <w:proofErr w:type="spellStart"/>
      <w:r w:rsidR="007A4A91" w:rsidRPr="00257ACB">
        <w:rPr>
          <w:rFonts w:ascii="Times New Roman" w:hAnsi="Times New Roman" w:cs="Times New Roman"/>
          <w:sz w:val="26"/>
          <w:szCs w:val="26"/>
        </w:rPr>
        <w:t>labour</w:t>
      </w:r>
      <w:proofErr w:type="spellEnd"/>
      <w:r w:rsidR="007A4A91" w:rsidRPr="00257ACB">
        <w:rPr>
          <w:rFonts w:ascii="Times New Roman" w:hAnsi="Times New Roman" w:cs="Times New Roman"/>
          <w:sz w:val="26"/>
          <w:szCs w:val="26"/>
        </w:rPr>
        <w:t>.</w:t>
      </w:r>
      <w:r w:rsidR="009E5FBA">
        <w:rPr>
          <w:rStyle w:val="ae"/>
          <w:rFonts w:ascii="Times New Roman" w:hAnsi="Times New Roman" w:cs="Times New Roman"/>
          <w:sz w:val="26"/>
          <w:szCs w:val="26"/>
        </w:rPr>
        <w:footnoteReference w:id="443"/>
      </w:r>
      <w:r w:rsidR="00BC6958" w:rsidRPr="00257ACB">
        <w:rPr>
          <w:rFonts w:ascii="Times New Roman" w:hAnsi="Times New Roman" w:cs="Times New Roman"/>
          <w:sz w:val="26"/>
          <w:szCs w:val="26"/>
        </w:rPr>
        <w:t xml:space="preserve"> On the other hand, in the second phase, the administration moved on from this kind of framework for the regulation of personal relations into a state </w:t>
      </w:r>
      <w:r w:rsidR="00BC6958" w:rsidRPr="00257ACB">
        <w:rPr>
          <w:rFonts w:ascii="Times New Roman" w:hAnsi="Times New Roman" w:cs="Times New Roman"/>
          <w:sz w:val="26"/>
          <w:szCs w:val="26"/>
        </w:rPr>
        <w:lastRenderedPageBreak/>
        <w:t xml:space="preserve">where the policy discourse was constructed in a different and more diffuse form. </w:t>
      </w:r>
      <w:r w:rsidR="00DB07EA" w:rsidRPr="00257ACB">
        <w:rPr>
          <w:rFonts w:ascii="Times New Roman" w:hAnsi="Times New Roman" w:cs="Times New Roman"/>
          <w:sz w:val="26"/>
          <w:szCs w:val="26"/>
        </w:rPr>
        <w:t>In fact, it was the fact that where</w:t>
      </w:r>
      <w:r w:rsidR="002D25A4" w:rsidRPr="00257ACB">
        <w:rPr>
          <w:rFonts w:ascii="Times New Roman" w:eastAsia="바탕" w:hAnsi="Times New Roman" w:cs="Times New Roman"/>
          <w:sz w:val="26"/>
          <w:szCs w:val="26"/>
        </w:rPr>
        <w:t>as in its first phase, the government had</w:t>
      </w:r>
      <w:r w:rsidR="00DB07EA" w:rsidRPr="00257ACB">
        <w:rPr>
          <w:rFonts w:ascii="Times New Roman" w:eastAsia="바탕" w:hAnsi="Times New Roman" w:cs="Times New Roman"/>
          <w:sz w:val="26"/>
          <w:szCs w:val="26"/>
        </w:rPr>
        <w:t xml:space="preserve"> pursued to bring together a number of different policy </w:t>
      </w:r>
      <w:r w:rsidR="00A411F8" w:rsidRPr="00257ACB">
        <w:rPr>
          <w:rFonts w:ascii="Times New Roman" w:eastAsia="바탕" w:hAnsi="Times New Roman" w:cs="Times New Roman"/>
          <w:sz w:val="26"/>
          <w:szCs w:val="26"/>
        </w:rPr>
        <w:t>line</w:t>
      </w:r>
      <w:r w:rsidR="00713683" w:rsidRPr="00257ACB">
        <w:rPr>
          <w:rFonts w:ascii="Times New Roman" w:eastAsia="바탕" w:hAnsi="Times New Roman" w:cs="Times New Roman"/>
          <w:sz w:val="26"/>
          <w:szCs w:val="26"/>
        </w:rPr>
        <w:t>s</w:t>
      </w:r>
      <w:r w:rsidR="002D25A4" w:rsidRPr="00257ACB">
        <w:rPr>
          <w:rFonts w:ascii="Times New Roman" w:eastAsia="바탕" w:hAnsi="Times New Roman" w:cs="Times New Roman"/>
          <w:sz w:val="26"/>
          <w:szCs w:val="26"/>
        </w:rPr>
        <w:t xml:space="preserve"> in the Fairness at Work White Paper, in the second phase </w:t>
      </w:r>
      <w:r w:rsidR="00DB07EA" w:rsidRPr="00257ACB">
        <w:rPr>
          <w:rFonts w:ascii="Times New Roman" w:eastAsia="바탕" w:hAnsi="Times New Roman" w:cs="Times New Roman"/>
          <w:sz w:val="26"/>
          <w:szCs w:val="26"/>
        </w:rPr>
        <w:t xml:space="preserve">the approach to this policy discourse was much less </w:t>
      </w:r>
      <w:r w:rsidR="00713683" w:rsidRPr="00257ACB">
        <w:rPr>
          <w:rFonts w:ascii="Times New Roman" w:eastAsia="바탕" w:hAnsi="Times New Roman" w:cs="Times New Roman"/>
          <w:sz w:val="26"/>
          <w:szCs w:val="26"/>
        </w:rPr>
        <w:t>unificatory.</w:t>
      </w:r>
      <w:r w:rsidR="009E5FBA">
        <w:rPr>
          <w:rStyle w:val="ae"/>
          <w:rFonts w:ascii="Times New Roman" w:eastAsia="바탕" w:hAnsi="Times New Roman" w:cs="Times New Roman"/>
          <w:sz w:val="26"/>
          <w:szCs w:val="26"/>
        </w:rPr>
        <w:footnoteReference w:id="444"/>
      </w:r>
      <w:r w:rsidR="00761703" w:rsidRPr="00257ACB">
        <w:rPr>
          <w:rFonts w:ascii="Times New Roman" w:eastAsia="바탕" w:hAnsi="Times New Roman" w:cs="Times New Roman"/>
          <w:sz w:val="26"/>
          <w:szCs w:val="26"/>
        </w:rPr>
        <w:t xml:space="preserve"> </w:t>
      </w:r>
      <w:r w:rsidR="00B81C5A" w:rsidRPr="00257ACB">
        <w:rPr>
          <w:rFonts w:ascii="Times New Roman" w:eastAsia="바탕" w:hAnsi="Times New Roman" w:cs="Times New Roman"/>
          <w:sz w:val="26"/>
          <w:szCs w:val="26"/>
        </w:rPr>
        <w:t xml:space="preserve">That is, </w:t>
      </w:r>
      <w:r w:rsidR="00A411F8" w:rsidRPr="00257ACB">
        <w:rPr>
          <w:rFonts w:ascii="Times New Roman" w:eastAsia="바탕" w:hAnsi="Times New Roman" w:cs="Times New Roman"/>
          <w:sz w:val="26"/>
          <w:szCs w:val="26"/>
        </w:rPr>
        <w:t>a number of different lines of policy were developed in a number of different areas or policy contexts in the second government without any single second-term manifesto for the regulation of personal work relations.</w:t>
      </w:r>
      <w:r w:rsidR="009E5FBA">
        <w:rPr>
          <w:rStyle w:val="ae"/>
          <w:rFonts w:ascii="Times New Roman" w:eastAsia="바탕" w:hAnsi="Times New Roman" w:cs="Times New Roman"/>
          <w:sz w:val="26"/>
          <w:szCs w:val="26"/>
        </w:rPr>
        <w:footnoteReference w:id="445"/>
      </w:r>
      <w:r w:rsidR="00A411F8" w:rsidRPr="00257ACB">
        <w:rPr>
          <w:rFonts w:ascii="Times New Roman" w:eastAsia="바탕" w:hAnsi="Times New Roman" w:cs="Times New Roman"/>
          <w:sz w:val="26"/>
          <w:szCs w:val="26"/>
        </w:rPr>
        <w:t xml:space="preserve"> </w:t>
      </w:r>
      <w:r w:rsidR="00247860" w:rsidRPr="00257ACB">
        <w:rPr>
          <w:rFonts w:ascii="Times New Roman" w:eastAsia="바탕" w:hAnsi="Times New Roman" w:cs="Times New Roman"/>
          <w:sz w:val="26"/>
          <w:szCs w:val="26"/>
        </w:rPr>
        <w:t xml:space="preserve">A comprehensive policy paper published by </w:t>
      </w:r>
      <w:proofErr w:type="spellStart"/>
      <w:r w:rsidR="00247860" w:rsidRPr="00257ACB">
        <w:rPr>
          <w:rFonts w:ascii="Times New Roman" w:eastAsia="바탕" w:hAnsi="Times New Roman" w:cs="Times New Roman"/>
          <w:sz w:val="26"/>
          <w:szCs w:val="26"/>
        </w:rPr>
        <w:t>Ms</w:t>
      </w:r>
      <w:proofErr w:type="spellEnd"/>
      <w:r w:rsidR="00247860" w:rsidRPr="00257ACB">
        <w:rPr>
          <w:rFonts w:ascii="Times New Roman" w:eastAsia="바탕" w:hAnsi="Times New Roman" w:cs="Times New Roman"/>
          <w:sz w:val="26"/>
          <w:szCs w:val="26"/>
        </w:rPr>
        <w:t xml:space="preserve"> Patricia Hewitt as Secretary of State for Trade and Industry in July 2002 which illustrated a general overview of employment policy was entitled </w:t>
      </w:r>
      <w:r w:rsidR="00247860" w:rsidRPr="00257ACB">
        <w:rPr>
          <w:rFonts w:ascii="Times New Roman" w:eastAsia="바탕" w:hAnsi="Times New Roman" w:cs="Times New Roman"/>
          <w:i/>
          <w:sz w:val="26"/>
          <w:szCs w:val="26"/>
        </w:rPr>
        <w:t xml:space="preserve">Full and Fulfilling Employment: Creating the </w:t>
      </w:r>
      <w:proofErr w:type="spellStart"/>
      <w:r w:rsidR="00247860" w:rsidRPr="00257ACB">
        <w:rPr>
          <w:rFonts w:ascii="Times New Roman" w:eastAsia="바탕" w:hAnsi="Times New Roman" w:cs="Times New Roman"/>
          <w:i/>
          <w:sz w:val="26"/>
          <w:szCs w:val="26"/>
        </w:rPr>
        <w:t>Labour</w:t>
      </w:r>
      <w:proofErr w:type="spellEnd"/>
      <w:r w:rsidR="00247860" w:rsidRPr="00257ACB">
        <w:rPr>
          <w:rFonts w:ascii="Times New Roman" w:eastAsia="바탕" w:hAnsi="Times New Roman" w:cs="Times New Roman"/>
          <w:i/>
          <w:sz w:val="26"/>
          <w:szCs w:val="26"/>
        </w:rPr>
        <w:t xml:space="preserve"> Market of the Future</w:t>
      </w:r>
      <w:r w:rsidR="009E5FBA">
        <w:rPr>
          <w:rStyle w:val="ae"/>
          <w:rFonts w:ascii="Times New Roman" w:eastAsia="바탕" w:hAnsi="Times New Roman" w:cs="Times New Roman"/>
          <w:i/>
          <w:sz w:val="26"/>
          <w:szCs w:val="26"/>
        </w:rPr>
        <w:footnoteReference w:id="446"/>
      </w:r>
      <w:r w:rsidR="00247860" w:rsidRPr="00257ACB">
        <w:rPr>
          <w:rFonts w:ascii="Times New Roman" w:eastAsia="바탕" w:hAnsi="Times New Roman" w:cs="Times New Roman"/>
          <w:i/>
          <w:sz w:val="26"/>
          <w:szCs w:val="26"/>
        </w:rPr>
        <w:t xml:space="preserve">. </w:t>
      </w:r>
      <w:r w:rsidR="007E6072" w:rsidRPr="00257ACB">
        <w:rPr>
          <w:rFonts w:ascii="Times New Roman" w:eastAsia="바탕" w:hAnsi="Times New Roman" w:cs="Times New Roman"/>
          <w:sz w:val="26"/>
          <w:szCs w:val="26"/>
        </w:rPr>
        <w:t xml:space="preserve">It </w:t>
      </w:r>
      <w:r w:rsidR="00133B84" w:rsidRPr="00257ACB">
        <w:rPr>
          <w:rFonts w:ascii="Times New Roman" w:eastAsia="바탕" w:hAnsi="Times New Roman" w:cs="Times New Roman"/>
          <w:sz w:val="26"/>
          <w:szCs w:val="26"/>
        </w:rPr>
        <w:t xml:space="preserve">was put forward </w:t>
      </w:r>
      <w:r w:rsidR="007E6072" w:rsidRPr="00257ACB">
        <w:rPr>
          <w:rFonts w:ascii="Times New Roman" w:eastAsia="바탕" w:hAnsi="Times New Roman" w:cs="Times New Roman"/>
          <w:sz w:val="26"/>
          <w:szCs w:val="26"/>
        </w:rPr>
        <w:t>from the discourse of employment policy, and was in the genre of the various European Employment Strategy policy pronouncements which stressed the importance of combining the promotion of full employment with the securing of good quality employment.</w:t>
      </w:r>
      <w:r w:rsidR="009E5FBA">
        <w:rPr>
          <w:rStyle w:val="ae"/>
          <w:rFonts w:ascii="Times New Roman" w:eastAsia="바탕" w:hAnsi="Times New Roman" w:cs="Times New Roman"/>
          <w:sz w:val="26"/>
          <w:szCs w:val="26"/>
        </w:rPr>
        <w:footnoteReference w:id="447"/>
      </w:r>
      <w:r w:rsidR="00133B84" w:rsidRPr="00257ACB">
        <w:rPr>
          <w:rFonts w:ascii="Times New Roman" w:eastAsia="바탕" w:hAnsi="Times New Roman" w:cs="Times New Roman"/>
          <w:sz w:val="26"/>
          <w:szCs w:val="26"/>
        </w:rPr>
        <w:t xml:space="preserve"> However, it could be interestingly mentioned that this paper never seems to have attained the status of an official policy document or a departmental policy pronouncement.</w:t>
      </w:r>
      <w:r w:rsidR="009E5FBA">
        <w:rPr>
          <w:rStyle w:val="ae"/>
          <w:rFonts w:ascii="Times New Roman" w:eastAsia="바탕" w:hAnsi="Times New Roman" w:cs="Times New Roman"/>
          <w:sz w:val="26"/>
          <w:szCs w:val="26"/>
        </w:rPr>
        <w:footnoteReference w:id="448"/>
      </w:r>
      <w:r w:rsidR="00133B84" w:rsidRPr="00257ACB">
        <w:rPr>
          <w:rFonts w:ascii="Times New Roman" w:eastAsia="바탕" w:hAnsi="Times New Roman" w:cs="Times New Roman"/>
          <w:sz w:val="26"/>
          <w:szCs w:val="26"/>
        </w:rPr>
        <w:t xml:space="preserve"> </w:t>
      </w:r>
      <w:r w:rsidR="003D68D1" w:rsidRPr="00257ACB">
        <w:rPr>
          <w:rFonts w:ascii="Times New Roman" w:eastAsia="바탕" w:hAnsi="Times New Roman" w:cs="Times New Roman"/>
          <w:sz w:val="26"/>
          <w:szCs w:val="26"/>
        </w:rPr>
        <w:t xml:space="preserve">Below that level of generality, there were several more specific policy documents coming from different and particular policy </w:t>
      </w:r>
      <w:r w:rsidR="00DD763B" w:rsidRPr="00257ACB">
        <w:rPr>
          <w:rFonts w:ascii="Times New Roman" w:eastAsia="바탕" w:hAnsi="Times New Roman" w:cs="Times New Roman"/>
          <w:sz w:val="26"/>
          <w:szCs w:val="26"/>
        </w:rPr>
        <w:t>contexts</w:t>
      </w:r>
      <w:r w:rsidR="003D68D1" w:rsidRPr="00257ACB">
        <w:rPr>
          <w:rFonts w:ascii="Times New Roman" w:eastAsia="바탕" w:hAnsi="Times New Roman" w:cs="Times New Roman"/>
          <w:sz w:val="26"/>
          <w:szCs w:val="26"/>
        </w:rPr>
        <w:t xml:space="preserve">. In 2000, </w:t>
      </w:r>
      <w:proofErr w:type="spellStart"/>
      <w:r w:rsidR="003D68D1" w:rsidRPr="00257ACB">
        <w:rPr>
          <w:rFonts w:ascii="Times New Roman" w:eastAsia="바탕" w:hAnsi="Times New Roman" w:cs="Times New Roman"/>
          <w:sz w:val="26"/>
          <w:szCs w:val="26"/>
        </w:rPr>
        <w:t>Mr</w:t>
      </w:r>
      <w:proofErr w:type="spellEnd"/>
      <w:r w:rsidR="003D68D1" w:rsidRPr="00257ACB">
        <w:rPr>
          <w:rFonts w:ascii="Times New Roman" w:eastAsia="바탕" w:hAnsi="Times New Roman" w:cs="Times New Roman"/>
          <w:sz w:val="26"/>
          <w:szCs w:val="26"/>
        </w:rPr>
        <w:t xml:space="preserve"> Stephen Byers as Secretary of State for Trade and Industry had published a Green Paper on family</w:t>
      </w:r>
      <w:r w:rsidR="00DD763B" w:rsidRPr="00257ACB">
        <w:rPr>
          <w:rFonts w:ascii="Times New Roman" w:eastAsia="바탕" w:hAnsi="Times New Roman" w:cs="Times New Roman"/>
          <w:sz w:val="26"/>
          <w:szCs w:val="26"/>
        </w:rPr>
        <w:t xml:space="preserve">-friendly policies, </w:t>
      </w:r>
      <w:r w:rsidR="00DD763B" w:rsidRPr="00257ACB">
        <w:rPr>
          <w:rFonts w:ascii="Times New Roman" w:eastAsia="바탕" w:hAnsi="Times New Roman" w:cs="Times New Roman"/>
          <w:i/>
          <w:sz w:val="26"/>
          <w:szCs w:val="26"/>
        </w:rPr>
        <w:t>Work and Parents- Competitiveness and Choice</w:t>
      </w:r>
      <w:r w:rsidR="009E5FBA">
        <w:rPr>
          <w:rStyle w:val="ae"/>
          <w:rFonts w:ascii="Times New Roman" w:eastAsia="바탕" w:hAnsi="Times New Roman" w:cs="Times New Roman"/>
          <w:i/>
          <w:sz w:val="26"/>
          <w:szCs w:val="26"/>
        </w:rPr>
        <w:footnoteReference w:id="449"/>
      </w:r>
      <w:r w:rsidR="00DD763B" w:rsidRPr="00257ACB">
        <w:rPr>
          <w:rFonts w:ascii="Times New Roman" w:eastAsia="바탕" w:hAnsi="Times New Roman" w:cs="Times New Roman"/>
          <w:i/>
          <w:sz w:val="26"/>
          <w:szCs w:val="26"/>
        </w:rPr>
        <w:t>.</w:t>
      </w:r>
      <w:r w:rsidR="00DD763B" w:rsidRPr="00257ACB">
        <w:rPr>
          <w:rFonts w:ascii="Times New Roman" w:eastAsia="바탕" w:hAnsi="Times New Roman" w:cs="Times New Roman"/>
          <w:sz w:val="26"/>
          <w:szCs w:val="26"/>
        </w:rPr>
        <w:t xml:space="preserve"> In July 2001, </w:t>
      </w:r>
      <w:proofErr w:type="spellStart"/>
      <w:r w:rsidR="00DD763B" w:rsidRPr="00257ACB">
        <w:rPr>
          <w:rFonts w:ascii="Times New Roman" w:eastAsia="바탕" w:hAnsi="Times New Roman" w:cs="Times New Roman"/>
          <w:sz w:val="26"/>
          <w:szCs w:val="26"/>
        </w:rPr>
        <w:t>Mr</w:t>
      </w:r>
      <w:proofErr w:type="spellEnd"/>
      <w:r w:rsidR="00DD763B" w:rsidRPr="00257ACB">
        <w:rPr>
          <w:rFonts w:ascii="Times New Roman" w:eastAsia="바탕" w:hAnsi="Times New Roman" w:cs="Times New Roman"/>
          <w:sz w:val="26"/>
          <w:szCs w:val="26"/>
        </w:rPr>
        <w:t xml:space="preserve"> Alan Johnson as Minister for Employment and the Regions </w:t>
      </w:r>
      <w:r w:rsidR="00176A0E" w:rsidRPr="00257ACB">
        <w:rPr>
          <w:rFonts w:ascii="Times New Roman" w:eastAsia="바탕" w:hAnsi="Times New Roman" w:cs="Times New Roman"/>
          <w:sz w:val="26"/>
          <w:szCs w:val="26"/>
        </w:rPr>
        <w:t>introduced</w:t>
      </w:r>
      <w:r w:rsidR="00DD763B" w:rsidRPr="00257ACB">
        <w:rPr>
          <w:rFonts w:ascii="Times New Roman" w:eastAsia="바탕" w:hAnsi="Times New Roman" w:cs="Times New Roman"/>
          <w:sz w:val="26"/>
          <w:szCs w:val="26"/>
        </w:rPr>
        <w:t xml:space="preserve"> a consultation </w:t>
      </w:r>
      <w:r w:rsidR="00DD763B" w:rsidRPr="00257ACB">
        <w:rPr>
          <w:rFonts w:ascii="Times New Roman" w:eastAsia="바탕" w:hAnsi="Times New Roman" w:cs="Times New Roman"/>
          <w:sz w:val="26"/>
          <w:szCs w:val="26"/>
        </w:rPr>
        <w:lastRenderedPageBreak/>
        <w:t xml:space="preserve">document, </w:t>
      </w:r>
      <w:r w:rsidR="00DD763B" w:rsidRPr="00257ACB">
        <w:rPr>
          <w:rFonts w:ascii="Times New Roman" w:eastAsia="바탕" w:hAnsi="Times New Roman" w:cs="Times New Roman"/>
          <w:i/>
          <w:sz w:val="26"/>
          <w:szCs w:val="26"/>
        </w:rPr>
        <w:t>Routes to Resolution: Improving Dispute Resolution in Britain</w:t>
      </w:r>
      <w:r w:rsidR="009E5FBA">
        <w:rPr>
          <w:rStyle w:val="ae"/>
          <w:rFonts w:ascii="Times New Roman" w:eastAsia="바탕" w:hAnsi="Times New Roman" w:cs="Times New Roman"/>
          <w:i/>
          <w:sz w:val="26"/>
          <w:szCs w:val="26"/>
        </w:rPr>
        <w:footnoteReference w:id="450"/>
      </w:r>
      <w:r w:rsidR="00DD763B" w:rsidRPr="00257ACB">
        <w:rPr>
          <w:rFonts w:ascii="Times New Roman" w:eastAsia="바탕" w:hAnsi="Times New Roman" w:cs="Times New Roman"/>
          <w:sz w:val="26"/>
          <w:szCs w:val="26"/>
        </w:rPr>
        <w:t xml:space="preserve"> which developed a strategy for dispute resolution w</w:t>
      </w:r>
      <w:r w:rsidR="00176A0E" w:rsidRPr="00257ACB">
        <w:rPr>
          <w:rFonts w:ascii="Times New Roman" w:eastAsia="바탕" w:hAnsi="Times New Roman" w:cs="Times New Roman"/>
          <w:sz w:val="26"/>
          <w:szCs w:val="26"/>
        </w:rPr>
        <w:t xml:space="preserve">ithin </w:t>
      </w:r>
      <w:r w:rsidR="00DD763B" w:rsidRPr="00257ACB">
        <w:rPr>
          <w:rFonts w:ascii="Times New Roman" w:eastAsia="바탕" w:hAnsi="Times New Roman" w:cs="Times New Roman"/>
          <w:sz w:val="26"/>
          <w:szCs w:val="26"/>
        </w:rPr>
        <w:t>the workplace rather than by litigation before employment tribunals.</w:t>
      </w:r>
      <w:r w:rsidR="003D3B56" w:rsidRPr="00257ACB">
        <w:rPr>
          <w:rFonts w:ascii="Times New Roman" w:eastAsia="바탕" w:hAnsi="Times New Roman" w:cs="Times New Roman"/>
          <w:sz w:val="26"/>
          <w:szCs w:val="26"/>
        </w:rPr>
        <w:t xml:space="preserve"> In July 2002, the Department of Trade and Industry published a Discussion Paper entitled </w:t>
      </w:r>
      <w:r w:rsidR="003D3B56" w:rsidRPr="00257ACB">
        <w:rPr>
          <w:rFonts w:ascii="Times New Roman" w:eastAsia="바탕" w:hAnsi="Times New Roman" w:cs="Times New Roman"/>
          <w:i/>
          <w:sz w:val="26"/>
          <w:szCs w:val="26"/>
        </w:rPr>
        <w:t>High Performance Workplaces: the role of employee involvement in a modern economy</w:t>
      </w:r>
      <w:r w:rsidR="009E5FBA">
        <w:rPr>
          <w:rStyle w:val="ae"/>
          <w:rFonts w:ascii="Times New Roman" w:eastAsia="바탕" w:hAnsi="Times New Roman" w:cs="Times New Roman"/>
          <w:i/>
          <w:sz w:val="26"/>
          <w:szCs w:val="26"/>
        </w:rPr>
        <w:footnoteReference w:id="451"/>
      </w:r>
      <w:r w:rsidR="003D3B56" w:rsidRPr="00257ACB">
        <w:rPr>
          <w:rFonts w:ascii="Times New Roman" w:eastAsia="바탕" w:hAnsi="Times New Roman" w:cs="Times New Roman"/>
          <w:i/>
          <w:sz w:val="26"/>
          <w:szCs w:val="26"/>
        </w:rPr>
        <w:t>.</w:t>
      </w:r>
      <w:r w:rsidR="0073792E" w:rsidRPr="00257ACB">
        <w:rPr>
          <w:rFonts w:ascii="Times New Roman" w:eastAsia="바탕" w:hAnsi="Times New Roman" w:cs="Times New Roman"/>
          <w:i/>
          <w:sz w:val="26"/>
          <w:szCs w:val="26"/>
        </w:rPr>
        <w:t xml:space="preserve"> </w:t>
      </w:r>
      <w:r w:rsidR="0073792E" w:rsidRPr="00257ACB">
        <w:rPr>
          <w:rFonts w:ascii="Times New Roman" w:eastAsia="바탕" w:hAnsi="Times New Roman" w:cs="Times New Roman"/>
          <w:sz w:val="26"/>
          <w:szCs w:val="26"/>
        </w:rPr>
        <w:t>This set forth a discourse about ‘partnership’ in the workplace which proclaimed a partly individualized approach to personal work relations in ‘modern, high performance workplaces’.</w:t>
      </w:r>
      <w:r w:rsidR="009E5FBA">
        <w:rPr>
          <w:rStyle w:val="ae"/>
          <w:rFonts w:ascii="Times New Roman" w:eastAsia="바탕" w:hAnsi="Times New Roman" w:cs="Times New Roman"/>
          <w:sz w:val="26"/>
          <w:szCs w:val="26"/>
        </w:rPr>
        <w:footnoteReference w:id="452"/>
      </w:r>
      <w:r w:rsidR="006A709C" w:rsidRPr="00257ACB">
        <w:rPr>
          <w:rFonts w:ascii="Times New Roman" w:eastAsia="바탕" w:hAnsi="Times New Roman" w:cs="Times New Roman"/>
          <w:sz w:val="26"/>
          <w:szCs w:val="26"/>
        </w:rPr>
        <w:t xml:space="preserve"> During the second phase of the Blair government, the agenda of reform of public services became even more central and important to the regulation of personal work relations than it had been in the first one.</w:t>
      </w:r>
      <w:r w:rsidR="00E913E4" w:rsidRPr="00257ACB">
        <w:rPr>
          <w:rFonts w:ascii="Times New Roman" w:eastAsia="바탕" w:hAnsi="Times New Roman" w:cs="Times New Roman"/>
          <w:sz w:val="26"/>
          <w:szCs w:val="26"/>
        </w:rPr>
        <w:t xml:space="preserve"> </w:t>
      </w:r>
      <w:r w:rsidR="0026506D" w:rsidRPr="00257ACB">
        <w:rPr>
          <w:rFonts w:ascii="Times New Roman" w:eastAsia="바탕" w:hAnsi="Times New Roman" w:cs="Times New Roman"/>
          <w:sz w:val="26"/>
          <w:szCs w:val="26"/>
        </w:rPr>
        <w:t xml:space="preserve">The White Paper </w:t>
      </w:r>
      <w:proofErr w:type="spellStart"/>
      <w:r w:rsidR="0026506D" w:rsidRPr="00257ACB">
        <w:rPr>
          <w:rFonts w:ascii="Times New Roman" w:eastAsia="바탕" w:hAnsi="Times New Roman" w:cs="Times New Roman"/>
          <w:i/>
          <w:sz w:val="26"/>
          <w:szCs w:val="26"/>
        </w:rPr>
        <w:t>Modernising</w:t>
      </w:r>
      <w:proofErr w:type="spellEnd"/>
      <w:r w:rsidR="0026506D" w:rsidRPr="00257ACB">
        <w:rPr>
          <w:rFonts w:ascii="Times New Roman" w:eastAsia="바탕" w:hAnsi="Times New Roman" w:cs="Times New Roman"/>
          <w:i/>
          <w:sz w:val="26"/>
          <w:szCs w:val="26"/>
        </w:rPr>
        <w:t xml:space="preserve"> Government</w:t>
      </w:r>
      <w:r w:rsidR="0026506D" w:rsidRPr="00257ACB">
        <w:rPr>
          <w:rFonts w:ascii="Times New Roman" w:eastAsia="바탕" w:hAnsi="Times New Roman" w:cs="Times New Roman"/>
          <w:sz w:val="26"/>
          <w:szCs w:val="26"/>
        </w:rPr>
        <w:t xml:space="preserve"> which was published during the first government, became one of the foundational policy documents for the second term in government. The policies which it articulated were reiterated and further specified in a document published in March 2002 by the then newly formed Prime Minister’s Office of Public Service Reform, entitled </w:t>
      </w:r>
      <w:r w:rsidR="0026506D" w:rsidRPr="00257ACB">
        <w:rPr>
          <w:rFonts w:ascii="Times New Roman" w:eastAsia="바탕" w:hAnsi="Times New Roman" w:cs="Times New Roman"/>
          <w:i/>
          <w:sz w:val="26"/>
          <w:szCs w:val="26"/>
        </w:rPr>
        <w:t>Reforming out public services; principles into practice</w:t>
      </w:r>
      <w:r w:rsidR="0026506D" w:rsidRPr="00257ACB">
        <w:rPr>
          <w:rFonts w:ascii="Times New Roman" w:eastAsia="바탕" w:hAnsi="Times New Roman" w:cs="Times New Roman"/>
          <w:sz w:val="26"/>
          <w:szCs w:val="26"/>
        </w:rPr>
        <w:t>.</w:t>
      </w:r>
      <w:r w:rsidR="009E5FBA">
        <w:rPr>
          <w:rStyle w:val="ae"/>
          <w:rFonts w:ascii="Times New Roman" w:eastAsia="바탕" w:hAnsi="Times New Roman" w:cs="Times New Roman"/>
          <w:sz w:val="26"/>
          <w:szCs w:val="26"/>
        </w:rPr>
        <w:footnoteReference w:id="453"/>
      </w:r>
      <w:r w:rsidR="0026506D" w:rsidRPr="00257ACB">
        <w:rPr>
          <w:rFonts w:ascii="Times New Roman" w:eastAsia="바탕" w:hAnsi="Times New Roman" w:cs="Times New Roman"/>
          <w:sz w:val="26"/>
          <w:szCs w:val="26"/>
        </w:rPr>
        <w:t xml:space="preserve"> </w:t>
      </w:r>
      <w:r w:rsidR="00967F06" w:rsidRPr="00257ACB">
        <w:rPr>
          <w:rFonts w:ascii="Times New Roman" w:eastAsia="바탕" w:hAnsi="Times New Roman" w:cs="Times New Roman"/>
          <w:sz w:val="26"/>
          <w:szCs w:val="26"/>
        </w:rPr>
        <w:t>It was suggested that this</w:t>
      </w:r>
      <w:r w:rsidR="000B1C0C" w:rsidRPr="00257ACB">
        <w:rPr>
          <w:rFonts w:ascii="Times New Roman" w:eastAsia="바탕" w:hAnsi="Times New Roman" w:cs="Times New Roman"/>
          <w:sz w:val="26"/>
          <w:szCs w:val="26"/>
        </w:rPr>
        <w:t xml:space="preserve"> policy pronouncements during this second period showed a very great implications indeed.</w:t>
      </w:r>
      <w:r w:rsidR="009E5FBA">
        <w:rPr>
          <w:rStyle w:val="ae"/>
          <w:rFonts w:ascii="Times New Roman" w:eastAsia="바탕" w:hAnsi="Times New Roman" w:cs="Times New Roman"/>
          <w:sz w:val="26"/>
          <w:szCs w:val="26"/>
        </w:rPr>
        <w:footnoteReference w:id="454"/>
      </w:r>
      <w:r w:rsidR="000B1C0C" w:rsidRPr="00257ACB">
        <w:rPr>
          <w:rFonts w:ascii="Times New Roman" w:eastAsia="바탕" w:hAnsi="Times New Roman" w:cs="Times New Roman"/>
          <w:sz w:val="26"/>
          <w:szCs w:val="26"/>
        </w:rPr>
        <w:t xml:space="preserve"> </w:t>
      </w:r>
      <w:r w:rsidR="00890A6B" w:rsidRPr="00257ACB">
        <w:rPr>
          <w:rFonts w:ascii="Times New Roman" w:eastAsia="바탕" w:hAnsi="Times New Roman" w:cs="Times New Roman"/>
          <w:sz w:val="26"/>
          <w:szCs w:val="26"/>
        </w:rPr>
        <w:t>These different policy initiat</w:t>
      </w:r>
      <w:r w:rsidR="007C20D7" w:rsidRPr="00257ACB">
        <w:rPr>
          <w:rFonts w:ascii="Times New Roman" w:eastAsia="바탕" w:hAnsi="Times New Roman" w:cs="Times New Roman"/>
          <w:sz w:val="26"/>
          <w:szCs w:val="26"/>
        </w:rPr>
        <w:t>iv</w:t>
      </w:r>
      <w:r w:rsidR="00890A6B" w:rsidRPr="00257ACB">
        <w:rPr>
          <w:rFonts w:ascii="Times New Roman" w:eastAsia="바탕" w:hAnsi="Times New Roman" w:cs="Times New Roman"/>
          <w:sz w:val="26"/>
          <w:szCs w:val="26"/>
        </w:rPr>
        <w:t xml:space="preserve">es and policy documents can be grouped in such a way as to identify two main policy </w:t>
      </w:r>
      <w:r w:rsidR="002A69D6" w:rsidRPr="00257ACB">
        <w:rPr>
          <w:rFonts w:ascii="Times New Roman" w:eastAsia="바탕" w:hAnsi="Times New Roman" w:cs="Times New Roman"/>
          <w:sz w:val="26"/>
          <w:szCs w:val="26"/>
        </w:rPr>
        <w:t>strands</w:t>
      </w:r>
      <w:r w:rsidR="007C20D7" w:rsidRPr="00257ACB">
        <w:rPr>
          <w:rFonts w:ascii="Times New Roman" w:eastAsia="바탕" w:hAnsi="Times New Roman" w:cs="Times New Roman"/>
          <w:sz w:val="26"/>
          <w:szCs w:val="26"/>
        </w:rPr>
        <w:t>, namely first</w:t>
      </w:r>
      <w:r w:rsidR="005A7943" w:rsidRPr="00257ACB">
        <w:rPr>
          <w:rFonts w:ascii="Times New Roman" w:eastAsia="바탕" w:hAnsi="Times New Roman" w:cs="Times New Roman"/>
          <w:sz w:val="26"/>
          <w:szCs w:val="26"/>
        </w:rPr>
        <w:t xml:space="preserve">, a socially </w:t>
      </w:r>
      <w:r w:rsidR="00266BD8" w:rsidRPr="00257ACB">
        <w:rPr>
          <w:rFonts w:ascii="Times New Roman" w:eastAsia="바탕" w:hAnsi="Times New Roman" w:cs="Times New Roman"/>
          <w:sz w:val="26"/>
          <w:szCs w:val="26"/>
        </w:rPr>
        <w:t>progressive one, increasingly strongly identified with notions of inclusion in employment and ‘family-friendliness’</w:t>
      </w:r>
      <w:r w:rsidR="007C20D7" w:rsidRPr="00257ACB">
        <w:rPr>
          <w:rFonts w:ascii="Times New Roman" w:eastAsia="바탕" w:hAnsi="Times New Roman" w:cs="Times New Roman"/>
          <w:sz w:val="26"/>
          <w:szCs w:val="26"/>
        </w:rPr>
        <w:t xml:space="preserve"> and</w:t>
      </w:r>
      <w:r w:rsidR="00266BD8" w:rsidRPr="00257ACB">
        <w:rPr>
          <w:rFonts w:ascii="Times New Roman" w:eastAsia="바탕" w:hAnsi="Times New Roman" w:cs="Times New Roman"/>
          <w:sz w:val="26"/>
          <w:szCs w:val="26"/>
        </w:rPr>
        <w:t xml:space="preserve"> secondly, an approach seeking to </w:t>
      </w:r>
      <w:proofErr w:type="spellStart"/>
      <w:r w:rsidR="00266BD8" w:rsidRPr="00257ACB">
        <w:rPr>
          <w:rFonts w:ascii="Times New Roman" w:eastAsia="바탕" w:hAnsi="Times New Roman" w:cs="Times New Roman"/>
          <w:sz w:val="26"/>
          <w:szCs w:val="26"/>
        </w:rPr>
        <w:t>maximise</w:t>
      </w:r>
      <w:proofErr w:type="spellEnd"/>
      <w:r w:rsidR="00266BD8" w:rsidRPr="00257ACB">
        <w:rPr>
          <w:rFonts w:ascii="Times New Roman" w:eastAsia="바탕" w:hAnsi="Times New Roman" w:cs="Times New Roman"/>
          <w:sz w:val="26"/>
          <w:szCs w:val="26"/>
        </w:rPr>
        <w:t xml:space="preserve"> financial efficiency and cost-effectiveness, or competitiveness, both in the management of public and private sector personal work relations and in the methodology of its regulation </w:t>
      </w:r>
      <w:r w:rsidR="007C20D7" w:rsidRPr="00257ACB">
        <w:rPr>
          <w:rFonts w:ascii="Times New Roman" w:eastAsia="바탕" w:hAnsi="Times New Roman" w:cs="Times New Roman"/>
          <w:sz w:val="26"/>
          <w:szCs w:val="26"/>
        </w:rPr>
        <w:t>by the state.</w:t>
      </w:r>
      <w:r w:rsidR="009E5FBA">
        <w:rPr>
          <w:rStyle w:val="ae"/>
          <w:rFonts w:ascii="Times New Roman" w:eastAsia="바탕" w:hAnsi="Times New Roman" w:cs="Times New Roman"/>
          <w:sz w:val="26"/>
          <w:szCs w:val="26"/>
        </w:rPr>
        <w:footnoteReference w:id="455"/>
      </w:r>
    </w:p>
    <w:p w14:paraId="5CA860E7" w14:textId="5A0D87C9" w:rsidR="00DD763B" w:rsidRPr="00257ACB" w:rsidRDefault="00FB22F2" w:rsidP="00FB22F2">
      <w:pPr>
        <w:pStyle w:val="a3"/>
        <w:numPr>
          <w:ilvl w:val="0"/>
          <w:numId w:val="23"/>
        </w:numPr>
        <w:ind w:leftChars="0"/>
        <w:rPr>
          <w:rFonts w:ascii="Times New Roman" w:eastAsia="바탕" w:hAnsi="Times New Roman" w:cs="Times New Roman"/>
          <w:sz w:val="26"/>
          <w:szCs w:val="26"/>
        </w:rPr>
      </w:pPr>
      <w:r w:rsidRPr="00257ACB">
        <w:rPr>
          <w:rFonts w:ascii="Times New Roman" w:eastAsia="바탕" w:hAnsi="Times New Roman" w:cs="Times New Roman"/>
          <w:sz w:val="26"/>
          <w:szCs w:val="26"/>
        </w:rPr>
        <w:t xml:space="preserve">Basic </w:t>
      </w:r>
      <w:proofErr w:type="spellStart"/>
      <w:r w:rsidRPr="00257ACB">
        <w:rPr>
          <w:rFonts w:ascii="Times New Roman" w:eastAsia="바탕" w:hAnsi="Times New Roman" w:cs="Times New Roman"/>
          <w:sz w:val="26"/>
          <w:szCs w:val="26"/>
        </w:rPr>
        <w:t>labour</w:t>
      </w:r>
      <w:proofErr w:type="spellEnd"/>
      <w:r w:rsidRPr="00257ACB">
        <w:rPr>
          <w:rFonts w:ascii="Times New Roman" w:eastAsia="바탕" w:hAnsi="Times New Roman" w:cs="Times New Roman"/>
          <w:sz w:val="26"/>
          <w:szCs w:val="26"/>
        </w:rPr>
        <w:t xml:space="preserve"> standards and general worker protection</w:t>
      </w:r>
    </w:p>
    <w:p w14:paraId="541F105F" w14:textId="31D28287" w:rsidR="00FB22F2" w:rsidRPr="00257ACB" w:rsidRDefault="00FB22F2" w:rsidP="00FB22F2">
      <w:pPr>
        <w:rPr>
          <w:rFonts w:ascii="Times New Roman" w:eastAsia="바탕" w:hAnsi="Times New Roman" w:cs="Times New Roman"/>
          <w:sz w:val="26"/>
          <w:szCs w:val="26"/>
        </w:rPr>
      </w:pPr>
    </w:p>
    <w:p w14:paraId="566EE663" w14:textId="7FE924C6" w:rsidR="00B82B2A" w:rsidRPr="00257ACB" w:rsidRDefault="000E4FA8" w:rsidP="00FB22F2">
      <w:pPr>
        <w:rPr>
          <w:rFonts w:ascii="Times New Roman" w:eastAsia="바탕" w:hAnsi="Times New Roman" w:cs="Times New Roman"/>
          <w:sz w:val="26"/>
          <w:szCs w:val="26"/>
        </w:rPr>
      </w:pPr>
      <w:r w:rsidRPr="00257ACB">
        <w:rPr>
          <w:rFonts w:ascii="Times New Roman" w:eastAsia="바탕" w:hAnsi="Times New Roman" w:cs="Times New Roman"/>
          <w:sz w:val="26"/>
          <w:szCs w:val="26"/>
        </w:rPr>
        <w:t>During th</w:t>
      </w:r>
      <w:r w:rsidR="00580CC4" w:rsidRPr="00257ACB">
        <w:rPr>
          <w:rFonts w:ascii="Times New Roman" w:eastAsia="바탕" w:hAnsi="Times New Roman" w:cs="Times New Roman"/>
          <w:sz w:val="26"/>
          <w:szCs w:val="26"/>
        </w:rPr>
        <w:t xml:space="preserve">e second phase of the Blair administration, in terms of basic </w:t>
      </w:r>
      <w:proofErr w:type="spellStart"/>
      <w:r w:rsidR="00580CC4" w:rsidRPr="00257ACB">
        <w:rPr>
          <w:rFonts w:ascii="Times New Roman" w:eastAsia="바탕" w:hAnsi="Times New Roman" w:cs="Times New Roman"/>
          <w:sz w:val="26"/>
          <w:szCs w:val="26"/>
        </w:rPr>
        <w:t>labour</w:t>
      </w:r>
      <w:proofErr w:type="spellEnd"/>
      <w:r w:rsidR="00580CC4" w:rsidRPr="00257ACB">
        <w:rPr>
          <w:rFonts w:ascii="Times New Roman" w:eastAsia="바탕" w:hAnsi="Times New Roman" w:cs="Times New Roman"/>
          <w:sz w:val="26"/>
          <w:szCs w:val="26"/>
        </w:rPr>
        <w:t xml:space="preserve"> standards and general worker protection, the Employment Act 2002 was one key piece of legislation. In 2004, there was further remarkable legislation in this area, both the Pensions Act and the </w:t>
      </w:r>
      <w:proofErr w:type="spellStart"/>
      <w:r w:rsidR="00580CC4" w:rsidRPr="00257ACB">
        <w:rPr>
          <w:rFonts w:ascii="Times New Roman" w:eastAsia="바탕" w:hAnsi="Times New Roman" w:cs="Times New Roman"/>
          <w:sz w:val="26"/>
          <w:szCs w:val="26"/>
        </w:rPr>
        <w:t>Gangmasters</w:t>
      </w:r>
      <w:proofErr w:type="spellEnd"/>
      <w:r w:rsidR="00580CC4" w:rsidRPr="00257ACB">
        <w:rPr>
          <w:rFonts w:ascii="Times New Roman" w:eastAsia="바탕" w:hAnsi="Times New Roman" w:cs="Times New Roman"/>
          <w:sz w:val="26"/>
          <w:szCs w:val="26"/>
        </w:rPr>
        <w:t xml:space="preserve"> (Licensing) Act of that year. </w:t>
      </w:r>
      <w:r w:rsidR="00DD129A" w:rsidRPr="00257ACB">
        <w:rPr>
          <w:rFonts w:ascii="Times New Roman" w:eastAsia="바탕" w:hAnsi="Times New Roman" w:cs="Times New Roman"/>
          <w:sz w:val="26"/>
          <w:szCs w:val="26"/>
        </w:rPr>
        <w:t>As the</w:t>
      </w:r>
      <w:r w:rsidR="00580CC4" w:rsidRPr="00257ACB">
        <w:rPr>
          <w:rFonts w:ascii="Times New Roman" w:eastAsia="바탕" w:hAnsi="Times New Roman" w:cs="Times New Roman"/>
          <w:sz w:val="26"/>
          <w:szCs w:val="26"/>
        </w:rPr>
        <w:t xml:space="preserve"> most</w:t>
      </w:r>
      <w:r w:rsidR="00DD53D3" w:rsidRPr="00257ACB">
        <w:rPr>
          <w:rFonts w:ascii="Times New Roman" w:eastAsia="바탕" w:hAnsi="Times New Roman" w:cs="Times New Roman"/>
          <w:sz w:val="26"/>
          <w:szCs w:val="26"/>
        </w:rPr>
        <w:t xml:space="preserve"> remarkable legislation</w:t>
      </w:r>
      <w:r w:rsidR="00DD129A" w:rsidRPr="00257ACB">
        <w:rPr>
          <w:rFonts w:ascii="Times New Roman" w:eastAsia="바탕" w:hAnsi="Times New Roman" w:cs="Times New Roman"/>
          <w:sz w:val="26"/>
          <w:szCs w:val="26"/>
        </w:rPr>
        <w:t>,</w:t>
      </w:r>
      <w:r w:rsidR="00DD53D3" w:rsidRPr="00257ACB">
        <w:rPr>
          <w:rFonts w:ascii="Times New Roman" w:eastAsia="바탕" w:hAnsi="Times New Roman" w:cs="Times New Roman"/>
          <w:sz w:val="26"/>
          <w:szCs w:val="26"/>
        </w:rPr>
        <w:t xml:space="preserve"> the Employment Act of 2002 represented an elaborate package of measures, almost entirely in the sphere of individual rather than collective employment law, and those measures include </w:t>
      </w:r>
      <w:r w:rsidR="00D353CB" w:rsidRPr="00257ACB">
        <w:rPr>
          <w:rFonts w:ascii="Times New Roman" w:eastAsia="바탕" w:hAnsi="Times New Roman" w:cs="Times New Roman"/>
          <w:sz w:val="26"/>
          <w:szCs w:val="26"/>
        </w:rPr>
        <w:t xml:space="preserve">ones </w:t>
      </w:r>
      <w:r w:rsidR="00DD53D3" w:rsidRPr="00257ACB">
        <w:rPr>
          <w:rFonts w:ascii="Times New Roman" w:eastAsia="바탕" w:hAnsi="Times New Roman" w:cs="Times New Roman"/>
          <w:sz w:val="26"/>
          <w:szCs w:val="26"/>
        </w:rPr>
        <w:t>which fall within the subject area of recognizing equality rights</w:t>
      </w:r>
      <w:r w:rsidR="009E5FBA">
        <w:rPr>
          <w:rStyle w:val="ae"/>
          <w:rFonts w:ascii="Times New Roman" w:eastAsia="바탕" w:hAnsi="Times New Roman" w:cs="Times New Roman"/>
          <w:sz w:val="26"/>
          <w:szCs w:val="26"/>
        </w:rPr>
        <w:footnoteReference w:id="456"/>
      </w:r>
      <w:r w:rsidR="00DD53D3" w:rsidRPr="00257ACB">
        <w:rPr>
          <w:rFonts w:ascii="Times New Roman" w:eastAsia="바탕" w:hAnsi="Times New Roman" w:cs="Times New Roman"/>
          <w:sz w:val="26"/>
          <w:szCs w:val="26"/>
        </w:rPr>
        <w:t xml:space="preserve"> and modifying legislation to</w:t>
      </w:r>
      <w:r w:rsidR="00D353CB" w:rsidRPr="00257ACB">
        <w:rPr>
          <w:rFonts w:ascii="Times New Roman" w:eastAsia="바탕" w:hAnsi="Times New Roman" w:cs="Times New Roman"/>
          <w:sz w:val="26"/>
          <w:szCs w:val="26"/>
        </w:rPr>
        <w:t xml:space="preserve"> non-standard employment</w:t>
      </w:r>
      <w:r w:rsidR="009E5FBA">
        <w:rPr>
          <w:rStyle w:val="ae"/>
          <w:rFonts w:ascii="Times New Roman" w:eastAsia="바탕" w:hAnsi="Times New Roman" w:cs="Times New Roman"/>
          <w:sz w:val="26"/>
          <w:szCs w:val="26"/>
        </w:rPr>
        <w:footnoteReference w:id="457"/>
      </w:r>
      <w:r w:rsidR="00D353CB" w:rsidRPr="00257ACB">
        <w:rPr>
          <w:rFonts w:ascii="Times New Roman" w:eastAsia="바탕" w:hAnsi="Times New Roman" w:cs="Times New Roman"/>
          <w:sz w:val="26"/>
          <w:szCs w:val="26"/>
        </w:rPr>
        <w:t>.</w:t>
      </w:r>
      <w:r w:rsidR="00AB0C72" w:rsidRPr="00257ACB">
        <w:rPr>
          <w:rFonts w:ascii="Times New Roman" w:eastAsia="바탕" w:hAnsi="Times New Roman" w:cs="Times New Roman"/>
          <w:sz w:val="26"/>
          <w:szCs w:val="26"/>
        </w:rPr>
        <w:t xml:space="preserve"> </w:t>
      </w:r>
      <w:r w:rsidR="001444BC" w:rsidRPr="00257ACB">
        <w:rPr>
          <w:rFonts w:ascii="Times New Roman" w:eastAsia="바탕" w:hAnsi="Times New Roman" w:cs="Times New Roman"/>
          <w:sz w:val="26"/>
          <w:szCs w:val="26"/>
        </w:rPr>
        <w:t xml:space="preserve">It can be divided into three sets </w:t>
      </w:r>
      <w:r w:rsidR="00B90F93" w:rsidRPr="00257ACB">
        <w:rPr>
          <w:rFonts w:ascii="Times New Roman" w:eastAsia="바탕" w:hAnsi="Times New Roman" w:cs="Times New Roman"/>
          <w:sz w:val="26"/>
          <w:szCs w:val="26"/>
        </w:rPr>
        <w:t xml:space="preserve">of measures within the Act which concerns basic </w:t>
      </w:r>
      <w:proofErr w:type="spellStart"/>
      <w:r w:rsidR="00B90F93" w:rsidRPr="00257ACB">
        <w:rPr>
          <w:rFonts w:ascii="Times New Roman" w:eastAsia="바탕" w:hAnsi="Times New Roman" w:cs="Times New Roman"/>
          <w:sz w:val="26"/>
          <w:szCs w:val="26"/>
        </w:rPr>
        <w:t>labour</w:t>
      </w:r>
      <w:proofErr w:type="spellEnd"/>
      <w:r w:rsidR="00B90F93" w:rsidRPr="00257ACB">
        <w:rPr>
          <w:rFonts w:ascii="Times New Roman" w:eastAsia="바탕" w:hAnsi="Times New Roman" w:cs="Times New Roman"/>
          <w:sz w:val="26"/>
          <w:szCs w:val="26"/>
        </w:rPr>
        <w:t xml:space="preserve"> standards and general worker protection; first those in Part 1 concerning maternity, paternity, and adoption, secondly, those in Parts 2 and 3 concerning tribunal reform and dispute resolution and finally those in part 4 concerning ‘flexible working’.</w:t>
      </w:r>
      <w:r w:rsidR="009E5FBA">
        <w:rPr>
          <w:rStyle w:val="ae"/>
          <w:rFonts w:ascii="Times New Roman" w:eastAsia="바탕" w:hAnsi="Times New Roman" w:cs="Times New Roman"/>
          <w:sz w:val="26"/>
          <w:szCs w:val="26"/>
        </w:rPr>
        <w:footnoteReference w:id="458"/>
      </w:r>
      <w:r w:rsidR="00B90F93" w:rsidRPr="00257ACB">
        <w:rPr>
          <w:rFonts w:ascii="Times New Roman" w:eastAsia="바탕" w:hAnsi="Times New Roman" w:cs="Times New Roman"/>
          <w:sz w:val="26"/>
          <w:szCs w:val="26"/>
        </w:rPr>
        <w:t xml:space="preserve"> While the first of these sets of measures</w:t>
      </w:r>
      <w:r w:rsidR="00BC4AB3" w:rsidRPr="00257ACB">
        <w:rPr>
          <w:rFonts w:ascii="Times New Roman" w:eastAsia="바탕" w:hAnsi="Times New Roman" w:cs="Times New Roman"/>
          <w:sz w:val="26"/>
          <w:szCs w:val="26"/>
        </w:rPr>
        <w:t xml:space="preserve"> shows</w:t>
      </w:r>
      <w:r w:rsidR="00B90F93" w:rsidRPr="00257ACB">
        <w:rPr>
          <w:rFonts w:ascii="Times New Roman" w:eastAsia="바탕" w:hAnsi="Times New Roman" w:cs="Times New Roman"/>
          <w:sz w:val="26"/>
          <w:szCs w:val="26"/>
        </w:rPr>
        <w:t xml:space="preserve"> the high</w:t>
      </w:r>
      <w:r w:rsidR="00BC4AB3" w:rsidRPr="00257ACB">
        <w:rPr>
          <w:rFonts w:ascii="Times New Roman" w:eastAsia="바탕" w:hAnsi="Times New Roman" w:cs="Times New Roman"/>
          <w:sz w:val="26"/>
          <w:szCs w:val="26"/>
        </w:rPr>
        <w:t>-wat</w:t>
      </w:r>
      <w:r w:rsidR="00B90F93" w:rsidRPr="00257ACB">
        <w:rPr>
          <w:rFonts w:ascii="Times New Roman" w:eastAsia="바탕" w:hAnsi="Times New Roman" w:cs="Times New Roman"/>
          <w:sz w:val="26"/>
          <w:szCs w:val="26"/>
        </w:rPr>
        <w:t>er mark of the government’s family-friendly, worker-protective approach, and while the second of these</w:t>
      </w:r>
      <w:r w:rsidR="00DA5EB7" w:rsidRPr="00257ACB">
        <w:rPr>
          <w:rFonts w:ascii="Times New Roman" w:eastAsia="바탕" w:hAnsi="Times New Roman" w:cs="Times New Roman"/>
          <w:sz w:val="26"/>
          <w:szCs w:val="26"/>
        </w:rPr>
        <w:t xml:space="preserve"> </w:t>
      </w:r>
      <w:r w:rsidR="00BC4AB3" w:rsidRPr="00257ACB">
        <w:rPr>
          <w:rFonts w:ascii="Times New Roman" w:eastAsia="바탕" w:hAnsi="Times New Roman" w:cs="Times New Roman"/>
          <w:sz w:val="26"/>
          <w:szCs w:val="26"/>
        </w:rPr>
        <w:t>represents t</w:t>
      </w:r>
      <w:r w:rsidR="00DA5EB7" w:rsidRPr="00257ACB">
        <w:rPr>
          <w:rFonts w:ascii="Times New Roman" w:eastAsia="바탕" w:hAnsi="Times New Roman" w:cs="Times New Roman"/>
          <w:sz w:val="26"/>
          <w:szCs w:val="26"/>
        </w:rPr>
        <w:t>he other extreme of business-protective de-regulation, the third set of measures in very interestingly poised between those two extremes.</w:t>
      </w:r>
      <w:r w:rsidR="009E5FBA">
        <w:rPr>
          <w:rStyle w:val="ae"/>
          <w:rFonts w:ascii="Times New Roman" w:eastAsia="바탕" w:hAnsi="Times New Roman" w:cs="Times New Roman"/>
          <w:sz w:val="26"/>
          <w:szCs w:val="26"/>
        </w:rPr>
        <w:footnoteReference w:id="459"/>
      </w:r>
    </w:p>
    <w:p w14:paraId="628E4493" w14:textId="4BE6E292" w:rsidR="00DA5EB7" w:rsidRPr="00257ACB" w:rsidRDefault="00BA32AE" w:rsidP="00FB22F2">
      <w:pPr>
        <w:rPr>
          <w:rFonts w:ascii="Times New Roman" w:eastAsia="바탕" w:hAnsi="Times New Roman" w:cs="Times New Roman"/>
          <w:sz w:val="26"/>
          <w:szCs w:val="26"/>
        </w:rPr>
      </w:pPr>
      <w:proofErr w:type="gramStart"/>
      <w:r w:rsidRPr="00257ACB">
        <w:rPr>
          <w:rFonts w:ascii="Times New Roman" w:eastAsia="바탕" w:hAnsi="Times New Roman" w:cs="Times New Roman"/>
          <w:sz w:val="26"/>
          <w:szCs w:val="26"/>
        </w:rPr>
        <w:t>First of all</w:t>
      </w:r>
      <w:proofErr w:type="gramEnd"/>
      <w:r w:rsidRPr="00257ACB">
        <w:rPr>
          <w:rFonts w:ascii="Times New Roman" w:eastAsia="바탕" w:hAnsi="Times New Roman" w:cs="Times New Roman"/>
          <w:sz w:val="26"/>
          <w:szCs w:val="26"/>
        </w:rPr>
        <w:t xml:space="preserve">, ‘family-friendly’ </w:t>
      </w:r>
      <w:r w:rsidR="002B56CA" w:rsidRPr="00257ACB">
        <w:rPr>
          <w:rFonts w:ascii="Times New Roman" w:eastAsia="바탕" w:hAnsi="Times New Roman" w:cs="Times New Roman"/>
          <w:sz w:val="26"/>
          <w:szCs w:val="26"/>
        </w:rPr>
        <w:t xml:space="preserve">measures </w:t>
      </w:r>
      <w:r w:rsidR="005A1787" w:rsidRPr="00257ACB">
        <w:rPr>
          <w:rFonts w:ascii="Times New Roman" w:eastAsia="바탕" w:hAnsi="Times New Roman" w:cs="Times New Roman"/>
          <w:sz w:val="26"/>
          <w:szCs w:val="26"/>
        </w:rPr>
        <w:t>which went above and beyond what was required by the previously implemented Parental Leave Directive</w:t>
      </w:r>
      <w:r w:rsidR="009E5FBA">
        <w:rPr>
          <w:rStyle w:val="ae"/>
          <w:rFonts w:ascii="Times New Roman" w:eastAsia="바탕" w:hAnsi="Times New Roman" w:cs="Times New Roman"/>
          <w:sz w:val="26"/>
          <w:szCs w:val="26"/>
        </w:rPr>
        <w:footnoteReference w:id="460"/>
      </w:r>
      <w:r w:rsidR="005A1787" w:rsidRPr="00257ACB">
        <w:rPr>
          <w:rFonts w:ascii="Times New Roman" w:eastAsia="바탕" w:hAnsi="Times New Roman" w:cs="Times New Roman"/>
          <w:sz w:val="26"/>
          <w:szCs w:val="26"/>
        </w:rPr>
        <w:t>, consisted essentially of, first, the introduction of paternity leave</w:t>
      </w:r>
      <w:r w:rsidR="009E5FBA">
        <w:rPr>
          <w:rStyle w:val="ae"/>
          <w:rFonts w:ascii="Times New Roman" w:eastAsia="바탕" w:hAnsi="Times New Roman" w:cs="Times New Roman"/>
          <w:sz w:val="26"/>
          <w:szCs w:val="26"/>
        </w:rPr>
        <w:footnoteReference w:id="461"/>
      </w:r>
      <w:r w:rsidR="005A1787" w:rsidRPr="00257ACB">
        <w:rPr>
          <w:rFonts w:ascii="Times New Roman" w:eastAsia="바탕" w:hAnsi="Times New Roman" w:cs="Times New Roman"/>
          <w:sz w:val="26"/>
          <w:szCs w:val="26"/>
        </w:rPr>
        <w:t xml:space="preserve"> and statutory paternity pay</w:t>
      </w:r>
      <w:r w:rsidR="009E5FBA">
        <w:rPr>
          <w:rStyle w:val="ae"/>
          <w:rFonts w:ascii="Times New Roman" w:eastAsia="바탕" w:hAnsi="Times New Roman" w:cs="Times New Roman"/>
          <w:sz w:val="26"/>
          <w:szCs w:val="26"/>
        </w:rPr>
        <w:footnoteReference w:id="462"/>
      </w:r>
      <w:r w:rsidR="005A1787" w:rsidRPr="00257ACB">
        <w:rPr>
          <w:rFonts w:ascii="Times New Roman" w:eastAsia="바탕" w:hAnsi="Times New Roman" w:cs="Times New Roman"/>
          <w:sz w:val="26"/>
          <w:szCs w:val="26"/>
        </w:rPr>
        <w:t>;</w:t>
      </w:r>
      <w:r w:rsidR="00E82B72" w:rsidRPr="00257ACB">
        <w:rPr>
          <w:rFonts w:ascii="Times New Roman" w:eastAsia="바탕" w:hAnsi="Times New Roman" w:cs="Times New Roman"/>
          <w:sz w:val="26"/>
          <w:szCs w:val="26"/>
        </w:rPr>
        <w:t xml:space="preserve"> secondly, the introduction of </w:t>
      </w:r>
      <w:r w:rsidR="00E82B72" w:rsidRPr="00257ACB">
        <w:rPr>
          <w:rFonts w:ascii="Times New Roman" w:eastAsia="바탕" w:hAnsi="Times New Roman" w:cs="Times New Roman"/>
          <w:sz w:val="26"/>
          <w:szCs w:val="26"/>
        </w:rPr>
        <w:lastRenderedPageBreak/>
        <w:t>adoption leave</w:t>
      </w:r>
      <w:r w:rsidR="00BE3675">
        <w:rPr>
          <w:rStyle w:val="ae"/>
          <w:rFonts w:ascii="Times New Roman" w:eastAsia="바탕" w:hAnsi="Times New Roman" w:cs="Times New Roman"/>
          <w:sz w:val="26"/>
          <w:szCs w:val="26"/>
        </w:rPr>
        <w:footnoteReference w:id="463"/>
      </w:r>
      <w:r w:rsidR="00E82B72" w:rsidRPr="00257ACB">
        <w:rPr>
          <w:rFonts w:ascii="Times New Roman" w:eastAsia="바탕" w:hAnsi="Times New Roman" w:cs="Times New Roman"/>
          <w:sz w:val="26"/>
          <w:szCs w:val="26"/>
        </w:rPr>
        <w:t>and statutory adoption pay</w:t>
      </w:r>
      <w:r w:rsidR="00BE3675">
        <w:rPr>
          <w:rStyle w:val="ae"/>
          <w:rFonts w:ascii="Times New Roman" w:eastAsia="바탕" w:hAnsi="Times New Roman" w:cs="Times New Roman"/>
          <w:sz w:val="26"/>
          <w:szCs w:val="26"/>
        </w:rPr>
        <w:footnoteReference w:id="464"/>
      </w:r>
      <w:r w:rsidR="00E82B72" w:rsidRPr="00257ACB">
        <w:rPr>
          <w:rFonts w:ascii="Times New Roman" w:eastAsia="바탕" w:hAnsi="Times New Roman" w:cs="Times New Roman"/>
          <w:sz w:val="26"/>
          <w:szCs w:val="26"/>
        </w:rPr>
        <w:t xml:space="preserve">; and thirdly, the </w:t>
      </w:r>
      <w:r w:rsidR="008202EE" w:rsidRPr="00257ACB">
        <w:rPr>
          <w:rFonts w:ascii="Times New Roman" w:eastAsia="바탕" w:hAnsi="Times New Roman" w:cs="Times New Roman"/>
          <w:sz w:val="26"/>
          <w:szCs w:val="26"/>
        </w:rPr>
        <w:t>simplification and improvement of existing provision for maternity leave and statutory maternity pay</w:t>
      </w:r>
      <w:r w:rsidR="00BE3675">
        <w:rPr>
          <w:rStyle w:val="ae"/>
          <w:rFonts w:ascii="Times New Roman" w:eastAsia="바탕" w:hAnsi="Times New Roman" w:cs="Times New Roman"/>
          <w:sz w:val="26"/>
          <w:szCs w:val="26"/>
        </w:rPr>
        <w:footnoteReference w:id="465"/>
      </w:r>
      <w:r w:rsidR="008202EE" w:rsidRPr="00257ACB">
        <w:rPr>
          <w:rFonts w:ascii="Times New Roman" w:eastAsia="바탕" w:hAnsi="Times New Roman" w:cs="Times New Roman"/>
          <w:sz w:val="26"/>
          <w:szCs w:val="26"/>
        </w:rPr>
        <w:t>.</w:t>
      </w:r>
      <w:r w:rsidR="003E4020" w:rsidRPr="00257ACB">
        <w:rPr>
          <w:rFonts w:ascii="Times New Roman" w:eastAsia="바탕" w:hAnsi="Times New Roman" w:cs="Times New Roman"/>
          <w:sz w:val="26"/>
          <w:szCs w:val="26"/>
        </w:rPr>
        <w:t xml:space="preserve"> </w:t>
      </w:r>
      <w:r w:rsidR="007D2A0E" w:rsidRPr="00257ACB">
        <w:rPr>
          <w:rFonts w:ascii="Times New Roman" w:eastAsia="바탕" w:hAnsi="Times New Roman" w:cs="Times New Roman"/>
          <w:sz w:val="26"/>
          <w:szCs w:val="26"/>
        </w:rPr>
        <w:t xml:space="preserve">These measures </w:t>
      </w:r>
      <w:r w:rsidR="00F83EF3" w:rsidRPr="00257ACB">
        <w:rPr>
          <w:rFonts w:ascii="Times New Roman" w:eastAsia="바탕" w:hAnsi="Times New Roman" w:cs="Times New Roman"/>
          <w:sz w:val="26"/>
          <w:szCs w:val="26"/>
        </w:rPr>
        <w:t xml:space="preserve">served the objectives identified in the Green Paper </w:t>
      </w:r>
      <w:r w:rsidR="00F83EF3" w:rsidRPr="00257ACB">
        <w:rPr>
          <w:rFonts w:ascii="Times New Roman" w:eastAsia="바탕" w:hAnsi="Times New Roman" w:cs="Times New Roman"/>
          <w:i/>
          <w:sz w:val="26"/>
          <w:szCs w:val="26"/>
        </w:rPr>
        <w:t>Work and Parents- Competitiveness and Choice</w:t>
      </w:r>
      <w:r w:rsidR="00F83EF3" w:rsidRPr="00257ACB">
        <w:rPr>
          <w:rFonts w:ascii="Times New Roman" w:eastAsia="바탕" w:hAnsi="Times New Roman" w:cs="Times New Roman"/>
          <w:sz w:val="26"/>
          <w:szCs w:val="26"/>
        </w:rPr>
        <w:t xml:space="preserve"> of ‘improving choice for parents and enhancing competitive for business by keeping women’s skills and knowledge in the economy and maintaining their attachment to the </w:t>
      </w:r>
      <w:proofErr w:type="spellStart"/>
      <w:r w:rsidR="00F83EF3" w:rsidRPr="00257ACB">
        <w:rPr>
          <w:rFonts w:ascii="Times New Roman" w:eastAsia="바탕" w:hAnsi="Times New Roman" w:cs="Times New Roman"/>
          <w:sz w:val="26"/>
          <w:szCs w:val="26"/>
        </w:rPr>
        <w:t>labour</w:t>
      </w:r>
      <w:proofErr w:type="spellEnd"/>
      <w:r w:rsidR="00F83EF3" w:rsidRPr="00257ACB">
        <w:rPr>
          <w:rFonts w:ascii="Times New Roman" w:eastAsia="바탕" w:hAnsi="Times New Roman" w:cs="Times New Roman"/>
          <w:sz w:val="26"/>
          <w:szCs w:val="26"/>
        </w:rPr>
        <w:t xml:space="preserve"> market… enabling business to benefit from a greater contribution from the workforce, maximizing the contribution that working parents are able to make to their employers, safeguarding the health and welfare of the mother </w:t>
      </w:r>
      <w:r w:rsidR="00624C2E" w:rsidRPr="00257ACB">
        <w:rPr>
          <w:rFonts w:ascii="Times New Roman" w:eastAsia="바탕" w:hAnsi="Times New Roman" w:cs="Times New Roman"/>
          <w:sz w:val="26"/>
          <w:szCs w:val="26"/>
        </w:rPr>
        <w:t>and child before and after birth, and improving the quality of family life’.</w:t>
      </w:r>
      <w:r w:rsidR="00BE3675">
        <w:rPr>
          <w:rStyle w:val="ae"/>
          <w:rFonts w:ascii="Times New Roman" w:eastAsia="바탕" w:hAnsi="Times New Roman" w:cs="Times New Roman"/>
          <w:sz w:val="26"/>
          <w:szCs w:val="26"/>
        </w:rPr>
        <w:footnoteReference w:id="466"/>
      </w:r>
      <w:r w:rsidR="00B73C5A" w:rsidRPr="00257ACB">
        <w:rPr>
          <w:rFonts w:ascii="Times New Roman" w:eastAsia="바탕" w:hAnsi="Times New Roman" w:cs="Times New Roman"/>
          <w:sz w:val="26"/>
          <w:szCs w:val="26"/>
        </w:rPr>
        <w:t xml:space="preserve"> </w:t>
      </w:r>
      <w:r w:rsidR="009D0281" w:rsidRPr="00257ACB">
        <w:rPr>
          <w:rFonts w:ascii="Times New Roman" w:eastAsia="바탕" w:hAnsi="Times New Roman" w:cs="Times New Roman"/>
          <w:sz w:val="26"/>
          <w:szCs w:val="26"/>
        </w:rPr>
        <w:t xml:space="preserve">Here, it can be acknowledged that a mixture of objectives which may in certain respects be divergent ones so that there may be a tension between </w:t>
      </w:r>
      <w:proofErr w:type="spellStart"/>
      <w:r w:rsidR="009D0281" w:rsidRPr="00257ACB">
        <w:rPr>
          <w:rFonts w:ascii="Times New Roman" w:eastAsia="바탕" w:hAnsi="Times New Roman" w:cs="Times New Roman"/>
          <w:sz w:val="26"/>
          <w:szCs w:val="26"/>
        </w:rPr>
        <w:t>labour</w:t>
      </w:r>
      <w:proofErr w:type="spellEnd"/>
      <w:r w:rsidR="009D0281" w:rsidRPr="00257ACB">
        <w:rPr>
          <w:rFonts w:ascii="Times New Roman" w:eastAsia="바탕" w:hAnsi="Times New Roman" w:cs="Times New Roman"/>
          <w:sz w:val="26"/>
          <w:szCs w:val="26"/>
        </w:rPr>
        <w:t>-market inclusion for the benefit of the economy as a whole, and worker-protection for those workers who are parents or parents-to-be.</w:t>
      </w:r>
      <w:r w:rsidR="00BE3675">
        <w:rPr>
          <w:rStyle w:val="ae"/>
          <w:rFonts w:ascii="Times New Roman" w:eastAsia="바탕" w:hAnsi="Times New Roman" w:cs="Times New Roman"/>
          <w:sz w:val="26"/>
          <w:szCs w:val="26"/>
        </w:rPr>
        <w:footnoteReference w:id="467"/>
      </w:r>
      <w:r w:rsidR="008C6649" w:rsidRPr="00257ACB">
        <w:rPr>
          <w:rFonts w:ascii="Times New Roman" w:eastAsia="바탕" w:hAnsi="Times New Roman" w:cs="Times New Roman"/>
          <w:sz w:val="26"/>
          <w:szCs w:val="26"/>
        </w:rPr>
        <w:t xml:space="preserve"> Specifically</w:t>
      </w:r>
      <w:r w:rsidR="00A94CC0" w:rsidRPr="00257ACB">
        <w:rPr>
          <w:rFonts w:ascii="Times New Roman" w:eastAsia="바탕" w:hAnsi="Times New Roman" w:cs="Times New Roman"/>
          <w:sz w:val="26"/>
          <w:szCs w:val="26"/>
        </w:rPr>
        <w:t xml:space="preserve">, it has been suggested that there </w:t>
      </w:r>
      <w:r w:rsidR="008B22A8" w:rsidRPr="00257ACB">
        <w:rPr>
          <w:rFonts w:ascii="Times New Roman" w:eastAsia="바탕" w:hAnsi="Times New Roman" w:cs="Times New Roman"/>
          <w:sz w:val="26"/>
          <w:szCs w:val="26"/>
        </w:rPr>
        <w:t>was</w:t>
      </w:r>
      <w:r w:rsidR="00A94CC0" w:rsidRPr="00257ACB">
        <w:rPr>
          <w:rFonts w:ascii="Times New Roman" w:eastAsia="바탕" w:hAnsi="Times New Roman" w:cs="Times New Roman"/>
          <w:sz w:val="26"/>
          <w:szCs w:val="26"/>
        </w:rPr>
        <w:t xml:space="preserve"> a radical contrast between the improvement</w:t>
      </w:r>
      <w:r w:rsidR="00D81E84" w:rsidRPr="00257ACB">
        <w:rPr>
          <w:rFonts w:ascii="Times New Roman" w:eastAsia="바탕" w:hAnsi="Times New Roman" w:cs="Times New Roman"/>
          <w:sz w:val="26"/>
          <w:szCs w:val="26"/>
        </w:rPr>
        <w:t xml:space="preserve"> of the rights and protections for worker-parents intended and effected by that part of the Act, and the detraction from the rights of workers as a whole resulted from Parts 2 and 3 of the Act</w:t>
      </w:r>
      <w:r w:rsidR="008B22A8" w:rsidRPr="00257ACB">
        <w:rPr>
          <w:rFonts w:ascii="Times New Roman" w:eastAsia="바탕" w:hAnsi="Times New Roman" w:cs="Times New Roman"/>
          <w:sz w:val="26"/>
          <w:szCs w:val="26"/>
        </w:rPr>
        <w:t xml:space="preserve"> which </w:t>
      </w:r>
      <w:r w:rsidR="009D06C8" w:rsidRPr="00257ACB">
        <w:rPr>
          <w:rFonts w:ascii="Times New Roman" w:eastAsia="바탕" w:hAnsi="Times New Roman" w:cs="Times New Roman"/>
          <w:sz w:val="26"/>
          <w:szCs w:val="26"/>
        </w:rPr>
        <w:t>represented</w:t>
      </w:r>
      <w:r w:rsidR="008C6649" w:rsidRPr="00257ACB">
        <w:rPr>
          <w:rFonts w:ascii="Times New Roman" w:eastAsia="바탕" w:hAnsi="Times New Roman" w:cs="Times New Roman"/>
          <w:sz w:val="26"/>
          <w:szCs w:val="26"/>
        </w:rPr>
        <w:t xml:space="preserve"> a set of de-regulatory aims and outcomes partly concealed in the language of ‘tribunal reform’ and ‘dispute resolution’.</w:t>
      </w:r>
      <w:r w:rsidR="00BE3675">
        <w:rPr>
          <w:rStyle w:val="ae"/>
          <w:rFonts w:ascii="Times New Roman" w:eastAsia="바탕" w:hAnsi="Times New Roman" w:cs="Times New Roman"/>
          <w:sz w:val="26"/>
          <w:szCs w:val="26"/>
        </w:rPr>
        <w:footnoteReference w:id="468"/>
      </w:r>
      <w:r w:rsidR="003B521F" w:rsidRPr="00257ACB">
        <w:rPr>
          <w:rFonts w:ascii="Times New Roman" w:eastAsia="바탕" w:hAnsi="Times New Roman" w:cs="Times New Roman"/>
          <w:sz w:val="26"/>
          <w:szCs w:val="26"/>
        </w:rPr>
        <w:t xml:space="preserve"> On the other hand, the measures contained in Parts 2 and 3 began from the policy document </w:t>
      </w:r>
      <w:r w:rsidR="003B521F" w:rsidRPr="00257ACB">
        <w:rPr>
          <w:rFonts w:ascii="Times New Roman" w:eastAsia="바탕" w:hAnsi="Times New Roman" w:cs="Times New Roman"/>
          <w:i/>
          <w:sz w:val="26"/>
          <w:szCs w:val="26"/>
        </w:rPr>
        <w:t>Routes to Resolution</w:t>
      </w:r>
      <w:r w:rsidR="003B521F" w:rsidRPr="00257ACB">
        <w:rPr>
          <w:rFonts w:ascii="Times New Roman" w:eastAsia="바탕" w:hAnsi="Times New Roman" w:cs="Times New Roman"/>
          <w:sz w:val="26"/>
          <w:szCs w:val="26"/>
        </w:rPr>
        <w:t xml:space="preserve"> </w:t>
      </w:r>
      <w:r w:rsidR="006C4C8D" w:rsidRPr="00257ACB">
        <w:rPr>
          <w:rFonts w:ascii="Times New Roman" w:eastAsia="바탕" w:hAnsi="Times New Roman" w:cs="Times New Roman"/>
          <w:sz w:val="26"/>
          <w:szCs w:val="26"/>
        </w:rPr>
        <w:t xml:space="preserve">having been </w:t>
      </w:r>
      <w:r w:rsidR="003B521F" w:rsidRPr="00257ACB">
        <w:rPr>
          <w:rFonts w:ascii="Times New Roman" w:eastAsia="바탕" w:hAnsi="Times New Roman" w:cs="Times New Roman"/>
          <w:sz w:val="26"/>
          <w:szCs w:val="26"/>
        </w:rPr>
        <w:t xml:space="preserve">issued in July 2001, and from a discourse about the greater regulatory efficiency </w:t>
      </w:r>
      <w:r w:rsidR="006C4C8D" w:rsidRPr="00257ACB">
        <w:rPr>
          <w:rFonts w:ascii="Times New Roman" w:eastAsia="바탕" w:hAnsi="Times New Roman" w:cs="Times New Roman"/>
          <w:sz w:val="26"/>
          <w:szCs w:val="26"/>
        </w:rPr>
        <w:t>of either workplace dispute resolution or informal arbitration, as compared with litigation before employment tribunals, as methods of processing or adjudicating issues about the rights and protections of workers.</w:t>
      </w:r>
      <w:r w:rsidR="00BE3675">
        <w:rPr>
          <w:rStyle w:val="ae"/>
          <w:rFonts w:ascii="Times New Roman" w:eastAsia="바탕" w:hAnsi="Times New Roman" w:cs="Times New Roman"/>
          <w:sz w:val="26"/>
          <w:szCs w:val="26"/>
        </w:rPr>
        <w:footnoteReference w:id="469"/>
      </w:r>
      <w:r w:rsidR="00B266D3" w:rsidRPr="00257ACB">
        <w:rPr>
          <w:rFonts w:ascii="Times New Roman" w:eastAsia="바탕" w:hAnsi="Times New Roman" w:cs="Times New Roman"/>
          <w:sz w:val="26"/>
          <w:szCs w:val="26"/>
        </w:rPr>
        <w:t xml:space="preserve"> </w:t>
      </w:r>
      <w:r w:rsidR="000753BC" w:rsidRPr="00257ACB">
        <w:rPr>
          <w:rFonts w:ascii="Times New Roman" w:eastAsia="바탕" w:hAnsi="Times New Roman" w:cs="Times New Roman"/>
          <w:sz w:val="26"/>
          <w:szCs w:val="26"/>
        </w:rPr>
        <w:t>Lord McCarthy in the House of Lords, famously denounced Parts 2 and 3 as the ‘</w:t>
      </w:r>
      <w:proofErr w:type="spellStart"/>
      <w:r w:rsidR="000753BC" w:rsidRPr="00257ACB">
        <w:rPr>
          <w:rFonts w:ascii="Times New Roman" w:eastAsia="바탕" w:hAnsi="Times New Roman" w:cs="Times New Roman"/>
          <w:sz w:val="26"/>
          <w:szCs w:val="26"/>
        </w:rPr>
        <w:t>manky</w:t>
      </w:r>
      <w:proofErr w:type="spellEnd"/>
      <w:r w:rsidR="000753BC" w:rsidRPr="00257ACB">
        <w:rPr>
          <w:rFonts w:ascii="Times New Roman" w:eastAsia="바탕" w:hAnsi="Times New Roman" w:cs="Times New Roman"/>
          <w:sz w:val="26"/>
          <w:szCs w:val="26"/>
        </w:rPr>
        <w:t xml:space="preserve"> meat’ of the Bill sandwiched between the more </w:t>
      </w:r>
      <w:r w:rsidR="000753BC" w:rsidRPr="00257ACB">
        <w:rPr>
          <w:rFonts w:ascii="Times New Roman" w:eastAsia="바탕" w:hAnsi="Times New Roman" w:cs="Times New Roman"/>
          <w:sz w:val="26"/>
          <w:szCs w:val="26"/>
        </w:rPr>
        <w:lastRenderedPageBreak/>
        <w:t>innocuous and ‘family friendly’ Parts 1 and 4.</w:t>
      </w:r>
      <w:r w:rsidR="00BE3675">
        <w:rPr>
          <w:rStyle w:val="ae"/>
          <w:rFonts w:ascii="Times New Roman" w:eastAsia="바탕" w:hAnsi="Times New Roman" w:cs="Times New Roman"/>
          <w:sz w:val="26"/>
          <w:szCs w:val="26"/>
        </w:rPr>
        <w:footnoteReference w:id="470"/>
      </w:r>
      <w:r w:rsidR="000753BC" w:rsidRPr="00257ACB">
        <w:rPr>
          <w:rFonts w:ascii="Times New Roman" w:eastAsia="바탕" w:hAnsi="Times New Roman" w:cs="Times New Roman"/>
          <w:sz w:val="26"/>
          <w:szCs w:val="26"/>
        </w:rPr>
        <w:t xml:space="preserve"> Bob </w:t>
      </w:r>
      <w:proofErr w:type="spellStart"/>
      <w:r w:rsidR="000753BC" w:rsidRPr="00257ACB">
        <w:rPr>
          <w:rFonts w:ascii="Times New Roman" w:eastAsia="바탕" w:hAnsi="Times New Roman" w:cs="Times New Roman"/>
          <w:sz w:val="26"/>
          <w:szCs w:val="26"/>
        </w:rPr>
        <w:t>Hepple</w:t>
      </w:r>
      <w:proofErr w:type="spellEnd"/>
      <w:r w:rsidR="000753BC" w:rsidRPr="00257ACB">
        <w:rPr>
          <w:rFonts w:ascii="Times New Roman" w:eastAsia="바탕" w:hAnsi="Times New Roman" w:cs="Times New Roman"/>
          <w:sz w:val="26"/>
          <w:szCs w:val="26"/>
        </w:rPr>
        <w:t xml:space="preserve"> and Gillian Morris provided their opinion that: </w:t>
      </w:r>
    </w:p>
    <w:p w14:paraId="15234710" w14:textId="0569F646" w:rsidR="000753BC" w:rsidRPr="00257ACB" w:rsidRDefault="000753BC" w:rsidP="00FB22F2">
      <w:pPr>
        <w:rPr>
          <w:rFonts w:ascii="Times New Roman" w:eastAsia="바탕" w:hAnsi="Times New Roman" w:cs="Times New Roman"/>
          <w:sz w:val="26"/>
          <w:szCs w:val="26"/>
        </w:rPr>
      </w:pPr>
    </w:p>
    <w:p w14:paraId="1FF082B6" w14:textId="09B97277" w:rsidR="001B59AB" w:rsidRPr="00257ACB" w:rsidRDefault="000753BC" w:rsidP="00FB22F2">
      <w:pPr>
        <w:rPr>
          <w:rFonts w:ascii="Times New Roman" w:eastAsia="바탕" w:hAnsi="Times New Roman" w:cs="Times New Roman"/>
          <w:sz w:val="26"/>
          <w:szCs w:val="26"/>
        </w:rPr>
      </w:pPr>
      <w:r w:rsidRPr="00257ACB">
        <w:rPr>
          <w:rFonts w:ascii="Times New Roman" w:eastAsia="바탕" w:hAnsi="Times New Roman" w:cs="Times New Roman"/>
          <w:sz w:val="26"/>
          <w:szCs w:val="26"/>
        </w:rPr>
        <w:t xml:space="preserve">Parts 2 and 3 of the Employment Act 2002 signify a moment of crisis as the UK, in common with </w:t>
      </w:r>
      <w:proofErr w:type="spellStart"/>
      <w:r w:rsidRPr="00257ACB">
        <w:rPr>
          <w:rFonts w:ascii="Times New Roman" w:eastAsia="바탕" w:hAnsi="Times New Roman" w:cs="Times New Roman"/>
          <w:sz w:val="26"/>
          <w:szCs w:val="26"/>
        </w:rPr>
        <w:t>seeral</w:t>
      </w:r>
      <w:proofErr w:type="spellEnd"/>
      <w:r w:rsidRPr="00257ACB">
        <w:rPr>
          <w:rFonts w:ascii="Times New Roman" w:eastAsia="바탕" w:hAnsi="Times New Roman" w:cs="Times New Roman"/>
          <w:sz w:val="26"/>
          <w:szCs w:val="26"/>
        </w:rPr>
        <w:t xml:space="preserve"> other European countries, tries to limit the cost of [individual employment] rights. The British response is essentially to attempt to </w:t>
      </w:r>
      <w:proofErr w:type="spellStart"/>
      <w:r w:rsidRPr="00257ACB">
        <w:rPr>
          <w:rFonts w:ascii="Times New Roman" w:eastAsia="바탕" w:hAnsi="Times New Roman" w:cs="Times New Roman"/>
          <w:sz w:val="26"/>
          <w:szCs w:val="26"/>
        </w:rPr>
        <w:t>privatise</w:t>
      </w:r>
      <w:proofErr w:type="spellEnd"/>
      <w:r w:rsidRPr="00257ACB">
        <w:rPr>
          <w:rFonts w:ascii="Times New Roman" w:eastAsia="바탕" w:hAnsi="Times New Roman" w:cs="Times New Roman"/>
          <w:sz w:val="26"/>
          <w:szCs w:val="26"/>
        </w:rPr>
        <w:t xml:space="preserve"> enforcement through management controlled procedures in preference to independent public tribunals.</w:t>
      </w:r>
      <w:r w:rsidR="00BE3675">
        <w:rPr>
          <w:rStyle w:val="ae"/>
          <w:rFonts w:ascii="Times New Roman" w:eastAsia="바탕" w:hAnsi="Times New Roman" w:cs="Times New Roman"/>
          <w:sz w:val="26"/>
          <w:szCs w:val="26"/>
        </w:rPr>
        <w:footnoteReference w:id="471"/>
      </w:r>
      <w:r w:rsidR="00D94B47" w:rsidRPr="00257ACB">
        <w:rPr>
          <w:rFonts w:ascii="Times New Roman" w:eastAsia="바탕" w:hAnsi="Times New Roman" w:cs="Times New Roman"/>
          <w:sz w:val="26"/>
          <w:szCs w:val="26"/>
        </w:rPr>
        <w:t xml:space="preserve"> Through this legislation, the New </w:t>
      </w:r>
      <w:proofErr w:type="spellStart"/>
      <w:r w:rsidR="00D94B47" w:rsidRPr="00257ACB">
        <w:rPr>
          <w:rFonts w:ascii="Times New Roman" w:eastAsia="바탕" w:hAnsi="Times New Roman" w:cs="Times New Roman"/>
          <w:sz w:val="26"/>
          <w:szCs w:val="26"/>
        </w:rPr>
        <w:t>Labour</w:t>
      </w:r>
      <w:proofErr w:type="spellEnd"/>
      <w:r w:rsidR="00D94B47" w:rsidRPr="00257ACB">
        <w:rPr>
          <w:rFonts w:ascii="Times New Roman" w:eastAsia="바탕" w:hAnsi="Times New Roman" w:cs="Times New Roman"/>
          <w:sz w:val="26"/>
          <w:szCs w:val="26"/>
        </w:rPr>
        <w:t xml:space="preserve"> administration was using procedural rather than substantive </w:t>
      </w:r>
      <w:r w:rsidR="00926255" w:rsidRPr="00257ACB">
        <w:rPr>
          <w:rFonts w:ascii="Times New Roman" w:eastAsia="바탕" w:hAnsi="Times New Roman" w:cs="Times New Roman"/>
          <w:sz w:val="26"/>
          <w:szCs w:val="26"/>
        </w:rPr>
        <w:t>measures</w:t>
      </w:r>
      <w:r w:rsidR="00D94B47" w:rsidRPr="00257ACB">
        <w:rPr>
          <w:rFonts w:ascii="Times New Roman" w:eastAsia="바탕" w:hAnsi="Times New Roman" w:cs="Times New Roman"/>
          <w:sz w:val="26"/>
          <w:szCs w:val="26"/>
        </w:rPr>
        <w:t xml:space="preserve"> to limit the impact of unfair dismissal legislation upon managerial flexibility which they had in common with their recent Conservative predecessors, even if the precise means chosen were different.</w:t>
      </w:r>
      <w:r w:rsidR="00BE3675">
        <w:rPr>
          <w:rStyle w:val="ae"/>
          <w:rFonts w:ascii="Times New Roman" w:eastAsia="바탕" w:hAnsi="Times New Roman" w:cs="Times New Roman"/>
          <w:sz w:val="26"/>
          <w:szCs w:val="26"/>
        </w:rPr>
        <w:footnoteReference w:id="472"/>
      </w:r>
      <w:r w:rsidR="00A31307" w:rsidRPr="00257ACB">
        <w:rPr>
          <w:rFonts w:ascii="Times New Roman" w:eastAsia="바탕" w:hAnsi="Times New Roman" w:cs="Times New Roman"/>
          <w:sz w:val="26"/>
          <w:szCs w:val="26"/>
        </w:rPr>
        <w:t xml:space="preserve"> A third set of provisions in the Employment Act 2002 concerned ‘Flexible Working’ in Part 4.</w:t>
      </w:r>
      <w:r w:rsidR="00BE3675">
        <w:rPr>
          <w:rStyle w:val="ae"/>
          <w:rFonts w:ascii="Times New Roman" w:eastAsia="바탕" w:hAnsi="Times New Roman" w:cs="Times New Roman"/>
          <w:sz w:val="26"/>
          <w:szCs w:val="26"/>
        </w:rPr>
        <w:footnoteReference w:id="473"/>
      </w:r>
      <w:r w:rsidR="00FB3F93" w:rsidRPr="00257ACB">
        <w:rPr>
          <w:rFonts w:ascii="Times New Roman" w:eastAsia="바탕" w:hAnsi="Times New Roman" w:cs="Times New Roman"/>
          <w:sz w:val="26"/>
          <w:szCs w:val="26"/>
        </w:rPr>
        <w:t xml:space="preserve"> </w:t>
      </w:r>
      <w:r w:rsidR="00AD20DD" w:rsidRPr="00257ACB">
        <w:rPr>
          <w:rFonts w:ascii="Times New Roman" w:eastAsia="바탕" w:hAnsi="Times New Roman" w:cs="Times New Roman"/>
          <w:sz w:val="26"/>
          <w:szCs w:val="26"/>
        </w:rPr>
        <w:t>These measures can be thought especially significant</w:t>
      </w:r>
      <w:r w:rsidR="00150FA6" w:rsidRPr="00257ACB">
        <w:rPr>
          <w:rFonts w:ascii="Times New Roman" w:eastAsia="바탕" w:hAnsi="Times New Roman" w:cs="Times New Roman"/>
          <w:sz w:val="26"/>
          <w:szCs w:val="26"/>
        </w:rPr>
        <w:t xml:space="preserve"> because they were enhanced between the two extremes of worker protectiveness and business friendliness, but with an inclination towards the latter direction in a way which was characterized as typical for this second phase of the Blair administration and which might be identified as ‘light regulation’.</w:t>
      </w:r>
      <w:r w:rsidR="00BE3675">
        <w:rPr>
          <w:rStyle w:val="ae"/>
          <w:rFonts w:ascii="Times New Roman" w:eastAsia="바탕" w:hAnsi="Times New Roman" w:cs="Times New Roman"/>
          <w:sz w:val="26"/>
          <w:szCs w:val="26"/>
        </w:rPr>
        <w:footnoteReference w:id="474"/>
      </w:r>
      <w:r w:rsidR="00150FA6" w:rsidRPr="00257ACB">
        <w:rPr>
          <w:rFonts w:ascii="Times New Roman" w:eastAsia="바탕" w:hAnsi="Times New Roman" w:cs="Times New Roman"/>
          <w:sz w:val="26"/>
          <w:szCs w:val="26"/>
        </w:rPr>
        <w:t xml:space="preserve"> </w:t>
      </w:r>
      <w:r w:rsidR="00C22B79" w:rsidRPr="00257ACB">
        <w:rPr>
          <w:rFonts w:ascii="Times New Roman" w:eastAsia="바탕" w:hAnsi="Times New Roman" w:cs="Times New Roman"/>
          <w:sz w:val="26"/>
          <w:szCs w:val="26"/>
        </w:rPr>
        <w:t>The typical features of this ‘light regulation’ ha</w:t>
      </w:r>
      <w:r w:rsidR="00A6278F" w:rsidRPr="00257ACB">
        <w:rPr>
          <w:rFonts w:ascii="Times New Roman" w:eastAsia="바탕" w:hAnsi="Times New Roman" w:cs="Times New Roman"/>
          <w:sz w:val="26"/>
          <w:szCs w:val="26"/>
        </w:rPr>
        <w:t>ve</w:t>
      </w:r>
      <w:r w:rsidR="00C22B79" w:rsidRPr="00257ACB">
        <w:rPr>
          <w:rFonts w:ascii="Times New Roman" w:eastAsia="바탕" w:hAnsi="Times New Roman" w:cs="Times New Roman"/>
          <w:sz w:val="26"/>
          <w:szCs w:val="26"/>
        </w:rPr>
        <w:t xml:space="preserve"> been suggested such as the one generated by a specific political event or the need to comply with an EU obligation</w:t>
      </w:r>
      <w:r w:rsidR="00A6278F" w:rsidRPr="00257ACB">
        <w:rPr>
          <w:rFonts w:ascii="Times New Roman" w:eastAsia="바탕" w:hAnsi="Times New Roman" w:cs="Times New Roman"/>
          <w:sz w:val="26"/>
          <w:szCs w:val="26"/>
        </w:rPr>
        <w:t>,</w:t>
      </w:r>
      <w:r w:rsidR="00C22B79" w:rsidRPr="00257ACB">
        <w:rPr>
          <w:rFonts w:ascii="Times New Roman" w:eastAsia="바탕" w:hAnsi="Times New Roman" w:cs="Times New Roman"/>
          <w:sz w:val="26"/>
          <w:szCs w:val="26"/>
        </w:rPr>
        <w:t xml:space="preserve"> rather than the result </w:t>
      </w:r>
      <w:r w:rsidR="00A6278F" w:rsidRPr="00257ACB">
        <w:rPr>
          <w:rFonts w:ascii="Times New Roman" w:eastAsia="바탕" w:hAnsi="Times New Roman" w:cs="Times New Roman"/>
          <w:sz w:val="26"/>
          <w:szCs w:val="26"/>
        </w:rPr>
        <w:t xml:space="preserve">generated out </w:t>
      </w:r>
      <w:r w:rsidR="00C22B79" w:rsidRPr="00257ACB">
        <w:rPr>
          <w:rFonts w:ascii="Times New Roman" w:eastAsia="바탕" w:hAnsi="Times New Roman" w:cs="Times New Roman"/>
          <w:sz w:val="26"/>
          <w:szCs w:val="26"/>
        </w:rPr>
        <w:t>of a general policy initiat</w:t>
      </w:r>
      <w:r w:rsidR="00A6278F" w:rsidRPr="00257ACB">
        <w:rPr>
          <w:rFonts w:ascii="Times New Roman" w:eastAsia="바탕" w:hAnsi="Times New Roman" w:cs="Times New Roman"/>
          <w:sz w:val="26"/>
          <w:szCs w:val="26"/>
        </w:rPr>
        <w:t>ive.</w:t>
      </w:r>
      <w:r w:rsidR="00BE3675">
        <w:rPr>
          <w:rStyle w:val="ae"/>
          <w:rFonts w:ascii="Times New Roman" w:eastAsia="바탕" w:hAnsi="Times New Roman" w:cs="Times New Roman"/>
          <w:sz w:val="26"/>
          <w:szCs w:val="26"/>
        </w:rPr>
        <w:footnoteReference w:id="475"/>
      </w:r>
      <w:r w:rsidR="00A6278F" w:rsidRPr="00257ACB">
        <w:rPr>
          <w:rFonts w:ascii="Times New Roman" w:eastAsia="바탕" w:hAnsi="Times New Roman" w:cs="Times New Roman"/>
          <w:sz w:val="26"/>
          <w:szCs w:val="26"/>
        </w:rPr>
        <w:t xml:space="preserve"> In addition, the response to such demands is realized in terms of process regulation rather than in terms of hard substantive rights, namely process regulation and the fine tuning of which is implemented by ministerial order rather than by primary legislation.</w:t>
      </w:r>
      <w:r w:rsidR="00BE3675">
        <w:rPr>
          <w:rStyle w:val="ae"/>
          <w:rFonts w:ascii="Times New Roman" w:eastAsia="바탕" w:hAnsi="Times New Roman" w:cs="Times New Roman"/>
          <w:sz w:val="26"/>
          <w:szCs w:val="26"/>
        </w:rPr>
        <w:footnoteReference w:id="476"/>
      </w:r>
      <w:r w:rsidR="00A6278F" w:rsidRPr="00257ACB">
        <w:rPr>
          <w:rFonts w:ascii="Times New Roman" w:eastAsia="바탕" w:hAnsi="Times New Roman" w:cs="Times New Roman"/>
          <w:sz w:val="26"/>
          <w:szCs w:val="26"/>
        </w:rPr>
        <w:t xml:space="preserve"> </w:t>
      </w:r>
      <w:r w:rsidR="00536792" w:rsidRPr="00257ACB">
        <w:rPr>
          <w:rFonts w:ascii="Times New Roman" w:eastAsia="바탕" w:hAnsi="Times New Roman" w:cs="Times New Roman"/>
          <w:sz w:val="26"/>
          <w:szCs w:val="26"/>
        </w:rPr>
        <w:t xml:space="preserve">With the engagement of this light </w:t>
      </w:r>
      <w:r w:rsidR="00536792" w:rsidRPr="00257ACB">
        <w:rPr>
          <w:rFonts w:ascii="Times New Roman" w:eastAsia="바탕" w:hAnsi="Times New Roman" w:cs="Times New Roman"/>
          <w:sz w:val="26"/>
          <w:szCs w:val="26"/>
        </w:rPr>
        <w:lastRenderedPageBreak/>
        <w:t xml:space="preserve">regulation mentioned above, the government could best </w:t>
      </w:r>
      <w:proofErr w:type="spellStart"/>
      <w:r w:rsidR="00536792" w:rsidRPr="00257ACB">
        <w:rPr>
          <w:rFonts w:ascii="Times New Roman" w:eastAsia="바탕" w:hAnsi="Times New Roman" w:cs="Times New Roman"/>
          <w:sz w:val="26"/>
          <w:szCs w:val="26"/>
        </w:rPr>
        <w:t>realise</w:t>
      </w:r>
      <w:proofErr w:type="spellEnd"/>
      <w:r w:rsidR="00536792" w:rsidRPr="00257ACB">
        <w:rPr>
          <w:rFonts w:ascii="Times New Roman" w:eastAsia="바탕" w:hAnsi="Times New Roman" w:cs="Times New Roman"/>
          <w:sz w:val="26"/>
          <w:szCs w:val="26"/>
        </w:rPr>
        <w:t xml:space="preserve"> and maintain its </w:t>
      </w:r>
      <w:r w:rsidR="000D21DE" w:rsidRPr="00257ACB">
        <w:rPr>
          <w:rFonts w:ascii="Times New Roman" w:eastAsia="바탕" w:hAnsi="Times New Roman" w:cs="Times New Roman"/>
          <w:sz w:val="26"/>
          <w:szCs w:val="26"/>
        </w:rPr>
        <w:t>preferred version of management adaptability in personal work relations.</w:t>
      </w:r>
      <w:r w:rsidR="00BE3675">
        <w:rPr>
          <w:rStyle w:val="ae"/>
          <w:rFonts w:ascii="Times New Roman" w:eastAsia="바탕" w:hAnsi="Times New Roman" w:cs="Times New Roman"/>
          <w:sz w:val="26"/>
          <w:szCs w:val="26"/>
        </w:rPr>
        <w:footnoteReference w:id="477"/>
      </w:r>
      <w:r w:rsidR="00F80403" w:rsidRPr="00257ACB">
        <w:rPr>
          <w:rFonts w:ascii="Times New Roman" w:eastAsia="바탕" w:hAnsi="Times New Roman" w:cs="Times New Roman"/>
          <w:sz w:val="26"/>
          <w:szCs w:val="26"/>
        </w:rPr>
        <w:t xml:space="preserve"> </w:t>
      </w:r>
      <w:r w:rsidR="008628F6" w:rsidRPr="00257ACB">
        <w:rPr>
          <w:rFonts w:ascii="Times New Roman" w:eastAsia="바탕" w:hAnsi="Times New Roman" w:cs="Times New Roman"/>
          <w:sz w:val="26"/>
          <w:szCs w:val="26"/>
        </w:rPr>
        <w:t>This form of light regulation was devised in the context where the government felt particularly acute demand for provision for ‘flexible working’ to help working parents to combine work with the discharge of their parental responsibilities.</w:t>
      </w:r>
      <w:r w:rsidR="00BE3675">
        <w:rPr>
          <w:rStyle w:val="ae"/>
          <w:rFonts w:ascii="Times New Roman" w:eastAsia="바탕" w:hAnsi="Times New Roman" w:cs="Times New Roman"/>
          <w:sz w:val="26"/>
          <w:szCs w:val="26"/>
        </w:rPr>
        <w:footnoteReference w:id="478"/>
      </w:r>
      <w:r w:rsidR="006C5DE2" w:rsidRPr="00257ACB">
        <w:rPr>
          <w:rFonts w:ascii="Times New Roman" w:eastAsia="바탕" w:hAnsi="Times New Roman" w:cs="Times New Roman"/>
          <w:sz w:val="26"/>
          <w:szCs w:val="26"/>
        </w:rPr>
        <w:t xml:space="preserve"> </w:t>
      </w:r>
      <w:r w:rsidR="0088770D" w:rsidRPr="00257ACB">
        <w:rPr>
          <w:rFonts w:ascii="Times New Roman" w:eastAsia="바탕" w:hAnsi="Times New Roman" w:cs="Times New Roman"/>
          <w:sz w:val="26"/>
          <w:szCs w:val="26"/>
        </w:rPr>
        <w:t>There were important reasons</w:t>
      </w:r>
      <w:r w:rsidR="0062215B" w:rsidRPr="00257ACB">
        <w:rPr>
          <w:rFonts w:ascii="Times New Roman" w:eastAsia="바탕" w:hAnsi="Times New Roman" w:cs="Times New Roman"/>
          <w:sz w:val="26"/>
          <w:szCs w:val="26"/>
        </w:rPr>
        <w:t xml:space="preserve"> for keeping this regulation light.</w:t>
      </w:r>
      <w:r w:rsidR="00BA1595" w:rsidRPr="00257ACB">
        <w:rPr>
          <w:rFonts w:ascii="Times New Roman" w:eastAsia="바탕" w:hAnsi="Times New Roman" w:cs="Times New Roman"/>
          <w:sz w:val="26"/>
          <w:szCs w:val="26"/>
        </w:rPr>
        <w:t xml:space="preserve"> </w:t>
      </w:r>
      <w:r w:rsidR="00BE3675">
        <w:rPr>
          <w:rStyle w:val="ae"/>
          <w:rFonts w:ascii="Times New Roman" w:eastAsia="바탕" w:hAnsi="Times New Roman" w:cs="Times New Roman"/>
          <w:sz w:val="26"/>
          <w:szCs w:val="26"/>
        </w:rPr>
        <w:footnoteReference w:id="479"/>
      </w:r>
      <w:r w:rsidR="00BA1595" w:rsidRPr="00257ACB">
        <w:rPr>
          <w:rFonts w:ascii="Times New Roman" w:eastAsia="바탕" w:hAnsi="Times New Roman" w:cs="Times New Roman"/>
          <w:sz w:val="26"/>
          <w:szCs w:val="26"/>
        </w:rPr>
        <w:t>In general, t</w:t>
      </w:r>
      <w:r w:rsidR="0062215B" w:rsidRPr="00257ACB">
        <w:rPr>
          <w:rFonts w:ascii="Times New Roman" w:eastAsia="바탕" w:hAnsi="Times New Roman" w:cs="Times New Roman"/>
          <w:sz w:val="26"/>
          <w:szCs w:val="26"/>
        </w:rPr>
        <w:t xml:space="preserve">he government was increasingly keen to be seen to be listening to the business community in its development of ‘family-friendly’ policies, and the representatives of that community, generally adept at warning of the disastrous consequences of enhancement of worker-protective legislation, were especially eloquent with regard to anything </w:t>
      </w:r>
      <w:r w:rsidR="00BA1595" w:rsidRPr="00257ACB">
        <w:rPr>
          <w:rFonts w:ascii="Times New Roman" w:eastAsia="바탕" w:hAnsi="Times New Roman" w:cs="Times New Roman"/>
          <w:sz w:val="26"/>
          <w:szCs w:val="26"/>
        </w:rPr>
        <w:t>which involved ceding control of the way in which working time was arranged and structured, such as might be involved in giving working parents rights to demand tha</w:t>
      </w:r>
      <w:r w:rsidR="00394E2D" w:rsidRPr="00257ACB">
        <w:rPr>
          <w:rFonts w:ascii="Times New Roman" w:eastAsia="바탕" w:hAnsi="Times New Roman" w:cs="Times New Roman"/>
          <w:sz w:val="26"/>
          <w:szCs w:val="26"/>
        </w:rPr>
        <w:t>t</w:t>
      </w:r>
      <w:r w:rsidR="00BA1595" w:rsidRPr="00257ACB">
        <w:rPr>
          <w:rFonts w:ascii="Times New Roman" w:eastAsia="바탕" w:hAnsi="Times New Roman" w:cs="Times New Roman"/>
          <w:sz w:val="26"/>
          <w:szCs w:val="26"/>
        </w:rPr>
        <w:t xml:space="preserve"> they be accorded flexible working hours or ‘flexi-time’.</w:t>
      </w:r>
      <w:r w:rsidR="00BE3675">
        <w:rPr>
          <w:rStyle w:val="ae"/>
          <w:rFonts w:ascii="Times New Roman" w:eastAsia="바탕" w:hAnsi="Times New Roman" w:cs="Times New Roman"/>
          <w:sz w:val="26"/>
          <w:szCs w:val="26"/>
        </w:rPr>
        <w:footnoteReference w:id="480"/>
      </w:r>
      <w:r w:rsidR="008243F5" w:rsidRPr="00257ACB">
        <w:rPr>
          <w:rFonts w:ascii="Times New Roman" w:eastAsia="바탕" w:hAnsi="Times New Roman" w:cs="Times New Roman"/>
          <w:sz w:val="26"/>
          <w:szCs w:val="26"/>
        </w:rPr>
        <w:t xml:space="preserve"> </w:t>
      </w:r>
      <w:r w:rsidR="00305C18" w:rsidRPr="00257ACB">
        <w:rPr>
          <w:rFonts w:ascii="Times New Roman" w:eastAsia="바탕" w:hAnsi="Times New Roman" w:cs="Times New Roman"/>
          <w:sz w:val="26"/>
          <w:szCs w:val="26"/>
        </w:rPr>
        <w:t>The central notion was that of conferring upon employees with parental responsibilities a right to apply to their employer for a change in working ti</w:t>
      </w:r>
      <w:r w:rsidR="00ED0D81" w:rsidRPr="00257ACB">
        <w:rPr>
          <w:rFonts w:ascii="Times New Roman" w:eastAsia="바탕" w:hAnsi="Times New Roman" w:cs="Times New Roman"/>
          <w:sz w:val="26"/>
          <w:szCs w:val="26"/>
        </w:rPr>
        <w:t>me arrangements for the purpose of caring for a child,</w:t>
      </w:r>
      <w:r w:rsidR="00BE3675">
        <w:rPr>
          <w:rStyle w:val="ae"/>
          <w:rFonts w:ascii="Times New Roman" w:eastAsia="바탕" w:hAnsi="Times New Roman" w:cs="Times New Roman"/>
          <w:sz w:val="26"/>
          <w:szCs w:val="26"/>
        </w:rPr>
        <w:footnoteReference w:id="481"/>
      </w:r>
      <w:r w:rsidR="00ED0D81" w:rsidRPr="00257ACB">
        <w:rPr>
          <w:rFonts w:ascii="Times New Roman" w:eastAsia="바탕" w:hAnsi="Times New Roman" w:cs="Times New Roman"/>
          <w:sz w:val="26"/>
          <w:szCs w:val="26"/>
        </w:rPr>
        <w:t xml:space="preserve"> and an obligation upon the employer to process the application by holding a meeting with the employee to discuss the application, by giving a written decision stating grounds for refusal, and by providing an appeal against refusal</w:t>
      </w:r>
      <w:r w:rsidR="00BE3675">
        <w:rPr>
          <w:rStyle w:val="ae"/>
          <w:rFonts w:ascii="Times New Roman" w:eastAsia="바탕" w:hAnsi="Times New Roman" w:cs="Times New Roman"/>
          <w:sz w:val="26"/>
          <w:szCs w:val="26"/>
        </w:rPr>
        <w:footnoteReference w:id="482"/>
      </w:r>
      <w:r w:rsidR="00ED0D81" w:rsidRPr="00257ACB">
        <w:rPr>
          <w:rFonts w:ascii="Times New Roman" w:eastAsia="바탕" w:hAnsi="Times New Roman" w:cs="Times New Roman"/>
          <w:sz w:val="26"/>
          <w:szCs w:val="26"/>
        </w:rPr>
        <w:t>; and the employer is allowed to refuse the request only where ‘he considers that one or more of [a set of listed grounds] applies’.</w:t>
      </w:r>
      <w:r w:rsidR="00BE3675">
        <w:rPr>
          <w:rStyle w:val="ae"/>
          <w:rFonts w:ascii="Times New Roman" w:eastAsia="바탕" w:hAnsi="Times New Roman" w:cs="Times New Roman"/>
          <w:sz w:val="26"/>
          <w:szCs w:val="26"/>
        </w:rPr>
        <w:footnoteReference w:id="483"/>
      </w:r>
      <w:r w:rsidR="00ED0D81" w:rsidRPr="00257ACB">
        <w:rPr>
          <w:rFonts w:ascii="Times New Roman" w:eastAsia="바탕" w:hAnsi="Times New Roman" w:cs="Times New Roman"/>
          <w:sz w:val="26"/>
          <w:szCs w:val="26"/>
        </w:rPr>
        <w:t xml:space="preserve"> </w:t>
      </w:r>
      <w:r w:rsidR="00D63EFB" w:rsidRPr="00257ACB">
        <w:rPr>
          <w:rFonts w:ascii="Times New Roman" w:eastAsia="바탕" w:hAnsi="Times New Roman" w:cs="Times New Roman"/>
          <w:sz w:val="26"/>
          <w:szCs w:val="26"/>
        </w:rPr>
        <w:t xml:space="preserve"> The set of grounds for refusal was widely drawn, and capable of extension by ministerial regulation.</w:t>
      </w:r>
      <w:r w:rsidR="00BE3675">
        <w:rPr>
          <w:rStyle w:val="ae"/>
          <w:rFonts w:ascii="Times New Roman" w:eastAsia="바탕" w:hAnsi="Times New Roman" w:cs="Times New Roman"/>
          <w:sz w:val="26"/>
          <w:szCs w:val="26"/>
        </w:rPr>
        <w:footnoteReference w:id="484"/>
      </w:r>
      <w:r w:rsidR="00D63EFB" w:rsidRPr="00257ACB">
        <w:rPr>
          <w:rFonts w:ascii="Times New Roman" w:eastAsia="바탕" w:hAnsi="Times New Roman" w:cs="Times New Roman"/>
          <w:sz w:val="26"/>
          <w:szCs w:val="26"/>
        </w:rPr>
        <w:t xml:space="preserve"> </w:t>
      </w:r>
      <w:r w:rsidR="002C1C16" w:rsidRPr="00257ACB">
        <w:rPr>
          <w:rFonts w:ascii="Times New Roman" w:eastAsia="바탕" w:hAnsi="Times New Roman" w:cs="Times New Roman"/>
          <w:sz w:val="26"/>
          <w:szCs w:val="26"/>
        </w:rPr>
        <w:t xml:space="preserve">Mainly, in the supporting </w:t>
      </w:r>
      <w:r w:rsidR="002C1C16" w:rsidRPr="00257ACB">
        <w:rPr>
          <w:rFonts w:ascii="Times New Roman" w:eastAsia="바탕" w:hAnsi="Times New Roman" w:cs="Times New Roman"/>
          <w:sz w:val="26"/>
          <w:szCs w:val="26"/>
        </w:rPr>
        <w:lastRenderedPageBreak/>
        <w:t>Procedural Requirements Regulations</w:t>
      </w:r>
      <w:r w:rsidR="002D28EE" w:rsidRPr="00257ACB">
        <w:rPr>
          <w:rFonts w:ascii="Times New Roman" w:eastAsia="바탕" w:hAnsi="Times New Roman" w:cs="Times New Roman"/>
          <w:sz w:val="26"/>
          <w:szCs w:val="26"/>
        </w:rPr>
        <w:t>, it is provided</w:t>
      </w:r>
      <w:r w:rsidR="002C1C16" w:rsidRPr="00257ACB">
        <w:rPr>
          <w:rFonts w:ascii="Times New Roman" w:eastAsia="바탕" w:hAnsi="Times New Roman" w:cs="Times New Roman"/>
          <w:sz w:val="26"/>
          <w:szCs w:val="26"/>
        </w:rPr>
        <w:t xml:space="preserve"> that ‘where the decision is to refuse</w:t>
      </w:r>
      <w:r w:rsidR="00966F42" w:rsidRPr="00257ACB">
        <w:rPr>
          <w:rFonts w:ascii="Times New Roman" w:eastAsia="바탕" w:hAnsi="Times New Roman" w:cs="Times New Roman"/>
          <w:sz w:val="26"/>
          <w:szCs w:val="26"/>
        </w:rPr>
        <w:t xml:space="preserve"> the application, [the notice of decision shall] state which of the [statutorily specified] grounds for refusal are considered by the employer to apply [and] contain a sufficient explanation as to why those grounds apply. . .’.</w:t>
      </w:r>
      <w:r w:rsidR="00BE3675">
        <w:rPr>
          <w:rStyle w:val="ae"/>
          <w:rFonts w:ascii="Times New Roman" w:eastAsia="바탕" w:hAnsi="Times New Roman" w:cs="Times New Roman"/>
          <w:sz w:val="26"/>
          <w:szCs w:val="26"/>
        </w:rPr>
        <w:footnoteReference w:id="485"/>
      </w:r>
      <w:r w:rsidR="00F71057" w:rsidRPr="00257ACB">
        <w:rPr>
          <w:rFonts w:ascii="Times New Roman" w:eastAsia="바탕" w:hAnsi="Times New Roman" w:cs="Times New Roman"/>
          <w:sz w:val="26"/>
          <w:szCs w:val="26"/>
        </w:rPr>
        <w:t xml:space="preserve"> The Department of Trade and Industry </w:t>
      </w:r>
      <w:r w:rsidR="001A1BCB" w:rsidRPr="00257ACB">
        <w:rPr>
          <w:rFonts w:ascii="Times New Roman" w:eastAsia="바탕" w:hAnsi="Times New Roman" w:cs="Times New Roman"/>
          <w:sz w:val="26"/>
          <w:szCs w:val="26"/>
        </w:rPr>
        <w:t xml:space="preserve">provides </w:t>
      </w:r>
      <w:r w:rsidR="00F71057" w:rsidRPr="00257ACB">
        <w:rPr>
          <w:rFonts w:ascii="Times New Roman" w:eastAsia="바탕" w:hAnsi="Times New Roman" w:cs="Times New Roman"/>
          <w:sz w:val="26"/>
          <w:szCs w:val="26"/>
        </w:rPr>
        <w:t xml:space="preserve">in its guide to these provisions that the legislation </w:t>
      </w:r>
      <w:r w:rsidR="001B59AB" w:rsidRPr="00257ACB">
        <w:rPr>
          <w:rFonts w:ascii="Times New Roman" w:eastAsia="바탕" w:hAnsi="Times New Roman" w:cs="Times New Roman"/>
          <w:sz w:val="26"/>
          <w:szCs w:val="26"/>
        </w:rPr>
        <w:t>has ensured that ‘An employer may only refuse a request where there is a recognized business ground for doing so’</w:t>
      </w:r>
      <w:r w:rsidR="001A1BCB" w:rsidRPr="00257ACB">
        <w:rPr>
          <w:rFonts w:ascii="Times New Roman" w:eastAsia="바탕" w:hAnsi="Times New Roman" w:cs="Times New Roman"/>
          <w:sz w:val="26"/>
          <w:szCs w:val="26"/>
        </w:rPr>
        <w:t>, however,</w:t>
      </w:r>
      <w:r w:rsidR="001B59AB" w:rsidRPr="00257ACB">
        <w:rPr>
          <w:rFonts w:ascii="Times New Roman" w:eastAsia="바탕" w:hAnsi="Times New Roman" w:cs="Times New Roman"/>
          <w:sz w:val="26"/>
          <w:szCs w:val="26"/>
        </w:rPr>
        <w:t xml:space="preserve"> the legislation falls short of requiring objective justification for refusal, and defines the grounds for refusal in conspicuously permissive terms, including generalities such as ‘the burden of additional costs’ and ‘detrimental impact on quality’.</w:t>
      </w:r>
      <w:r w:rsidR="00BE3675">
        <w:rPr>
          <w:rStyle w:val="ae"/>
          <w:rFonts w:ascii="Times New Roman" w:eastAsia="바탕" w:hAnsi="Times New Roman" w:cs="Times New Roman"/>
          <w:sz w:val="26"/>
          <w:szCs w:val="26"/>
        </w:rPr>
        <w:footnoteReference w:id="486"/>
      </w:r>
      <w:r w:rsidR="001B59AB" w:rsidRPr="00257ACB">
        <w:rPr>
          <w:rFonts w:ascii="Times New Roman" w:eastAsia="바탕" w:hAnsi="Times New Roman" w:cs="Times New Roman"/>
          <w:sz w:val="26"/>
          <w:szCs w:val="26"/>
        </w:rPr>
        <w:t xml:space="preserve"> </w:t>
      </w:r>
      <w:r w:rsidR="0071710E" w:rsidRPr="00257ACB">
        <w:rPr>
          <w:rFonts w:ascii="Times New Roman" w:eastAsia="바탕" w:hAnsi="Times New Roman" w:cs="Times New Roman"/>
          <w:sz w:val="26"/>
          <w:szCs w:val="26"/>
        </w:rPr>
        <w:t>Even though this</w:t>
      </w:r>
      <w:r w:rsidR="00A458F9" w:rsidRPr="00257ACB">
        <w:rPr>
          <w:rFonts w:ascii="Times New Roman" w:eastAsia="바탕" w:hAnsi="Times New Roman" w:cs="Times New Roman"/>
          <w:sz w:val="26"/>
          <w:szCs w:val="26"/>
        </w:rPr>
        <w:t xml:space="preserve"> ‘light regulation’ app</w:t>
      </w:r>
      <w:r w:rsidR="00691C9A" w:rsidRPr="00257ACB">
        <w:rPr>
          <w:rFonts w:ascii="Times New Roman" w:eastAsia="바탕" w:hAnsi="Times New Roman" w:cs="Times New Roman"/>
          <w:sz w:val="26"/>
          <w:szCs w:val="26"/>
        </w:rPr>
        <w:t xml:space="preserve">roach </w:t>
      </w:r>
      <w:r w:rsidR="002631F3" w:rsidRPr="00257ACB">
        <w:rPr>
          <w:rFonts w:ascii="Times New Roman" w:eastAsia="바탕" w:hAnsi="Times New Roman" w:cs="Times New Roman"/>
          <w:sz w:val="26"/>
          <w:szCs w:val="26"/>
        </w:rPr>
        <w:t>cannot be said to be shown in every</w:t>
      </w:r>
      <w:r w:rsidR="00A458F9" w:rsidRPr="00257ACB">
        <w:rPr>
          <w:rFonts w:ascii="Times New Roman" w:eastAsia="바탕" w:hAnsi="Times New Roman" w:cs="Times New Roman"/>
          <w:sz w:val="26"/>
          <w:szCs w:val="26"/>
        </w:rPr>
        <w:t xml:space="preserve"> item of legislation in this second phase, </w:t>
      </w:r>
      <w:r w:rsidR="002631F3" w:rsidRPr="00257ACB">
        <w:rPr>
          <w:rFonts w:ascii="Times New Roman" w:eastAsia="바탕" w:hAnsi="Times New Roman" w:cs="Times New Roman"/>
          <w:sz w:val="26"/>
          <w:szCs w:val="26"/>
        </w:rPr>
        <w:t>it can be argued that there are sets of measures on either side of this centrist and somewhat employer-leaning path.</w:t>
      </w:r>
      <w:r w:rsidR="00BE3675">
        <w:rPr>
          <w:rStyle w:val="ae"/>
          <w:rFonts w:ascii="Times New Roman" w:eastAsia="바탕" w:hAnsi="Times New Roman" w:cs="Times New Roman"/>
          <w:sz w:val="26"/>
          <w:szCs w:val="26"/>
        </w:rPr>
        <w:footnoteReference w:id="487"/>
      </w:r>
      <w:r w:rsidR="002631F3" w:rsidRPr="00257ACB">
        <w:rPr>
          <w:rFonts w:ascii="Times New Roman" w:eastAsia="바탕" w:hAnsi="Times New Roman" w:cs="Times New Roman"/>
          <w:sz w:val="26"/>
          <w:szCs w:val="26"/>
        </w:rPr>
        <w:t xml:space="preserve"> In addition, as one of important manifestation of ‘light regulation’ consisted of minimal compliance with EU legislative obligations which was to become a more prominent phenomenon, almost to the point of resemblance with the stance of the Major administration in its latter days.</w:t>
      </w:r>
      <w:r w:rsidR="00BE3675">
        <w:rPr>
          <w:rStyle w:val="ae"/>
          <w:rFonts w:ascii="Times New Roman" w:eastAsia="바탕" w:hAnsi="Times New Roman" w:cs="Times New Roman"/>
          <w:sz w:val="26"/>
          <w:szCs w:val="26"/>
        </w:rPr>
        <w:footnoteReference w:id="488"/>
      </w:r>
      <w:r w:rsidR="002631F3" w:rsidRPr="00257ACB">
        <w:rPr>
          <w:rFonts w:ascii="Times New Roman" w:eastAsia="바탕" w:hAnsi="Times New Roman" w:cs="Times New Roman"/>
          <w:sz w:val="26"/>
          <w:szCs w:val="26"/>
        </w:rPr>
        <w:t xml:space="preserve"> It became </w:t>
      </w:r>
      <w:r w:rsidR="00A0474C" w:rsidRPr="00257ACB">
        <w:rPr>
          <w:rFonts w:ascii="Times New Roman" w:eastAsia="바탕" w:hAnsi="Times New Roman" w:cs="Times New Roman"/>
          <w:sz w:val="26"/>
          <w:szCs w:val="26"/>
        </w:rPr>
        <w:t xml:space="preserve">increasingly clear that for New </w:t>
      </w:r>
      <w:proofErr w:type="spellStart"/>
      <w:r w:rsidR="00A0474C" w:rsidRPr="00257ACB">
        <w:rPr>
          <w:rFonts w:ascii="Times New Roman" w:eastAsia="바탕" w:hAnsi="Times New Roman" w:cs="Times New Roman"/>
          <w:sz w:val="26"/>
          <w:szCs w:val="26"/>
        </w:rPr>
        <w:t>Labour</w:t>
      </w:r>
      <w:proofErr w:type="spellEnd"/>
      <w:r w:rsidR="00A0474C" w:rsidRPr="00257ACB">
        <w:rPr>
          <w:rFonts w:ascii="Times New Roman" w:eastAsia="바탕" w:hAnsi="Times New Roman" w:cs="Times New Roman"/>
          <w:sz w:val="26"/>
          <w:szCs w:val="26"/>
        </w:rPr>
        <w:t xml:space="preserve"> almost as much as for the Conservatives, the European Social Model was one from which the British government wanted to distance itself.</w:t>
      </w:r>
      <w:r w:rsidR="00BE3675">
        <w:rPr>
          <w:rStyle w:val="ae"/>
          <w:rFonts w:ascii="Times New Roman" w:eastAsia="바탕" w:hAnsi="Times New Roman" w:cs="Times New Roman"/>
          <w:sz w:val="26"/>
          <w:szCs w:val="26"/>
        </w:rPr>
        <w:footnoteReference w:id="489"/>
      </w:r>
      <w:r w:rsidR="00053443" w:rsidRPr="00257ACB">
        <w:rPr>
          <w:rFonts w:ascii="Times New Roman" w:eastAsia="바탕" w:hAnsi="Times New Roman" w:cs="Times New Roman"/>
          <w:sz w:val="26"/>
          <w:szCs w:val="26"/>
        </w:rPr>
        <w:t xml:space="preserve"> A good example can be found in the field of regulation of working time. </w:t>
      </w:r>
      <w:r w:rsidR="003B463A" w:rsidRPr="00257ACB">
        <w:rPr>
          <w:rFonts w:ascii="Times New Roman" w:eastAsia="바탕" w:hAnsi="Times New Roman" w:cs="Times New Roman"/>
          <w:sz w:val="26"/>
          <w:szCs w:val="26"/>
        </w:rPr>
        <w:t>During this second phase,</w:t>
      </w:r>
      <w:r w:rsidR="009F4F78" w:rsidRPr="00257ACB">
        <w:rPr>
          <w:rFonts w:ascii="Times New Roman" w:eastAsia="바탕" w:hAnsi="Times New Roman" w:cs="Times New Roman"/>
          <w:sz w:val="26"/>
          <w:szCs w:val="26"/>
        </w:rPr>
        <w:t xml:space="preserve"> the government minimally but duly implemented the Working Time Directive of 2000,</w:t>
      </w:r>
      <w:r w:rsidR="00BE3675">
        <w:rPr>
          <w:rStyle w:val="ae"/>
          <w:rFonts w:ascii="Times New Roman" w:eastAsia="바탕" w:hAnsi="Times New Roman" w:cs="Times New Roman"/>
          <w:sz w:val="26"/>
          <w:szCs w:val="26"/>
        </w:rPr>
        <w:footnoteReference w:id="490"/>
      </w:r>
      <w:r w:rsidR="009F4F78" w:rsidRPr="00257ACB">
        <w:rPr>
          <w:rFonts w:ascii="Times New Roman" w:eastAsia="바탕" w:hAnsi="Times New Roman" w:cs="Times New Roman"/>
          <w:sz w:val="26"/>
          <w:szCs w:val="26"/>
        </w:rPr>
        <w:t xml:space="preserve"> which extended the application of the original Working Time Directive of 1993 to certain sectors and activities previously excluded from its scope</w:t>
      </w:r>
      <w:r w:rsidR="00855F6E" w:rsidRPr="00257ACB">
        <w:rPr>
          <w:rFonts w:ascii="Times New Roman" w:eastAsia="바탕" w:hAnsi="Times New Roman" w:cs="Times New Roman"/>
          <w:sz w:val="26"/>
          <w:szCs w:val="26"/>
        </w:rPr>
        <w:t xml:space="preserve"> in which</w:t>
      </w:r>
      <w:r w:rsidR="009F4F78" w:rsidRPr="00257ACB">
        <w:rPr>
          <w:rFonts w:ascii="Times New Roman" w:eastAsia="바탕" w:hAnsi="Times New Roman" w:cs="Times New Roman"/>
          <w:sz w:val="26"/>
          <w:szCs w:val="26"/>
        </w:rPr>
        <w:t xml:space="preserve"> various parts of the EU working time regime were now applied for the first time more extensively than before to junior or trainee hospital doctors, road transport workers, crew members on board civil aircraft, and workers in the armed forces or emergency services.</w:t>
      </w:r>
      <w:r w:rsidR="00BE3675">
        <w:rPr>
          <w:rStyle w:val="ae"/>
          <w:rFonts w:ascii="Times New Roman" w:eastAsia="바탕" w:hAnsi="Times New Roman" w:cs="Times New Roman"/>
          <w:sz w:val="26"/>
          <w:szCs w:val="26"/>
        </w:rPr>
        <w:footnoteReference w:id="491"/>
      </w:r>
      <w:r w:rsidR="00855F6E" w:rsidRPr="00257ACB">
        <w:rPr>
          <w:rFonts w:ascii="Times New Roman" w:eastAsia="바탕" w:hAnsi="Times New Roman" w:cs="Times New Roman"/>
          <w:sz w:val="26"/>
          <w:szCs w:val="26"/>
        </w:rPr>
        <w:t xml:space="preserve"> However, </w:t>
      </w:r>
      <w:r w:rsidR="008E0151" w:rsidRPr="00257ACB">
        <w:rPr>
          <w:rFonts w:ascii="Times New Roman" w:eastAsia="바탕" w:hAnsi="Times New Roman" w:cs="Times New Roman"/>
          <w:sz w:val="26"/>
          <w:szCs w:val="26"/>
        </w:rPr>
        <w:t xml:space="preserve">throughout this period, </w:t>
      </w:r>
      <w:r w:rsidR="007F745E" w:rsidRPr="00257ACB">
        <w:rPr>
          <w:rFonts w:ascii="Times New Roman" w:eastAsia="바탕" w:hAnsi="Times New Roman" w:cs="Times New Roman"/>
          <w:sz w:val="26"/>
          <w:szCs w:val="26"/>
        </w:rPr>
        <w:t>the British government maintained</w:t>
      </w:r>
      <w:r w:rsidR="00E20302" w:rsidRPr="00257ACB">
        <w:rPr>
          <w:rFonts w:ascii="Times New Roman" w:eastAsia="바탕" w:hAnsi="Times New Roman" w:cs="Times New Roman"/>
          <w:sz w:val="26"/>
          <w:szCs w:val="26"/>
        </w:rPr>
        <w:t xml:space="preserve"> a determined insistence </w:t>
      </w:r>
      <w:r w:rsidR="00E20302" w:rsidRPr="00257ACB">
        <w:rPr>
          <w:rFonts w:ascii="Times New Roman" w:eastAsia="바탕" w:hAnsi="Times New Roman" w:cs="Times New Roman"/>
          <w:sz w:val="26"/>
          <w:szCs w:val="26"/>
        </w:rPr>
        <w:lastRenderedPageBreak/>
        <w:t xml:space="preserve">on the preservation of the individual opt-out from the 48 hour maximum working week, and was a major </w:t>
      </w:r>
      <w:r w:rsidR="00067AAD" w:rsidRPr="00257ACB">
        <w:rPr>
          <w:rFonts w:ascii="Times New Roman" w:eastAsia="바탕" w:hAnsi="Times New Roman" w:cs="Times New Roman"/>
          <w:sz w:val="26"/>
          <w:szCs w:val="26"/>
        </w:rPr>
        <w:t xml:space="preserve">successful </w:t>
      </w:r>
      <w:r w:rsidR="00E20302" w:rsidRPr="00257ACB">
        <w:rPr>
          <w:rFonts w:ascii="Times New Roman" w:eastAsia="바탕" w:hAnsi="Times New Roman" w:cs="Times New Roman"/>
          <w:sz w:val="26"/>
          <w:szCs w:val="26"/>
        </w:rPr>
        <w:t>contributor to the resistance to proposals from the European Commission to improve the effectiveness of EU working time regulation.</w:t>
      </w:r>
      <w:r w:rsidR="00BE3675">
        <w:rPr>
          <w:rStyle w:val="ae"/>
          <w:rFonts w:ascii="Times New Roman" w:eastAsia="바탕" w:hAnsi="Times New Roman" w:cs="Times New Roman"/>
          <w:sz w:val="26"/>
          <w:szCs w:val="26"/>
        </w:rPr>
        <w:footnoteReference w:id="492"/>
      </w:r>
      <w:r w:rsidR="0061337A" w:rsidRPr="00257ACB">
        <w:rPr>
          <w:rFonts w:ascii="Times New Roman" w:eastAsia="바탕" w:hAnsi="Times New Roman" w:cs="Times New Roman"/>
          <w:sz w:val="26"/>
          <w:szCs w:val="26"/>
        </w:rPr>
        <w:t xml:space="preserve"> One more example of light regulation in the second phase could be regarded the Pensions Act 2004 and other concerning occupational pension provision.</w:t>
      </w:r>
      <w:r w:rsidR="007400AB" w:rsidRPr="00257ACB">
        <w:rPr>
          <w:rFonts w:ascii="Times New Roman" w:eastAsia="바탕" w:hAnsi="Times New Roman" w:cs="Times New Roman"/>
          <w:sz w:val="26"/>
          <w:szCs w:val="26"/>
        </w:rPr>
        <w:t xml:space="preserve"> There are real non-re-regulatory or even marginally de-regulatory aspects of the 2004 Act which make it more than slightly comparable with the Act of 1995.</w:t>
      </w:r>
      <w:r w:rsidR="00BE3675">
        <w:rPr>
          <w:rStyle w:val="ae"/>
          <w:rFonts w:ascii="Times New Roman" w:eastAsia="바탕" w:hAnsi="Times New Roman" w:cs="Times New Roman"/>
          <w:sz w:val="26"/>
          <w:szCs w:val="26"/>
        </w:rPr>
        <w:footnoteReference w:id="493"/>
      </w:r>
      <w:r w:rsidR="0031651F" w:rsidRPr="00257ACB">
        <w:rPr>
          <w:rFonts w:ascii="Times New Roman" w:eastAsia="바탕" w:hAnsi="Times New Roman" w:cs="Times New Roman"/>
          <w:sz w:val="26"/>
          <w:szCs w:val="26"/>
        </w:rPr>
        <w:t xml:space="preserve"> </w:t>
      </w:r>
      <w:r w:rsidR="003F050A" w:rsidRPr="00257ACB">
        <w:rPr>
          <w:rFonts w:ascii="Times New Roman" w:eastAsia="바탕" w:hAnsi="Times New Roman" w:cs="Times New Roman"/>
          <w:sz w:val="26"/>
          <w:szCs w:val="26"/>
        </w:rPr>
        <w:t xml:space="preserve">It can be thought that the </w:t>
      </w:r>
      <w:r w:rsidR="00830AB1" w:rsidRPr="00257ACB">
        <w:rPr>
          <w:rFonts w:ascii="Times New Roman" w:eastAsia="바탕" w:hAnsi="Times New Roman" w:cs="Times New Roman"/>
          <w:sz w:val="26"/>
          <w:szCs w:val="26"/>
        </w:rPr>
        <w:t xml:space="preserve">term </w:t>
      </w:r>
      <w:r w:rsidR="003F050A" w:rsidRPr="00257ACB">
        <w:rPr>
          <w:rFonts w:ascii="Times New Roman" w:eastAsia="바탕" w:hAnsi="Times New Roman" w:cs="Times New Roman"/>
          <w:sz w:val="26"/>
          <w:szCs w:val="26"/>
        </w:rPr>
        <w:t xml:space="preserve">of ‘de-regulation’ refers to legislation and policy which </w:t>
      </w:r>
      <w:proofErr w:type="spellStart"/>
      <w:r w:rsidR="003F050A" w:rsidRPr="00257ACB">
        <w:rPr>
          <w:rFonts w:ascii="Times New Roman" w:eastAsia="바탕" w:hAnsi="Times New Roman" w:cs="Times New Roman"/>
          <w:sz w:val="26"/>
          <w:szCs w:val="26"/>
        </w:rPr>
        <w:t>resiles</w:t>
      </w:r>
      <w:proofErr w:type="spellEnd"/>
      <w:r w:rsidR="003F050A" w:rsidRPr="00257ACB">
        <w:rPr>
          <w:rFonts w:ascii="Times New Roman" w:eastAsia="바탕" w:hAnsi="Times New Roman" w:cs="Times New Roman"/>
          <w:sz w:val="26"/>
          <w:szCs w:val="26"/>
        </w:rPr>
        <w:t xml:space="preserve"> from earlier measures for the protection of workers </w:t>
      </w:r>
      <w:r w:rsidR="00830AB1" w:rsidRPr="00257ACB">
        <w:rPr>
          <w:rFonts w:ascii="Times New Roman" w:eastAsia="바탕" w:hAnsi="Times New Roman" w:cs="Times New Roman"/>
          <w:sz w:val="26"/>
          <w:szCs w:val="26"/>
        </w:rPr>
        <w:t xml:space="preserve">in general </w:t>
      </w:r>
      <w:r w:rsidR="003F050A" w:rsidRPr="00257ACB">
        <w:rPr>
          <w:rFonts w:ascii="Times New Roman" w:eastAsia="바탕" w:hAnsi="Times New Roman" w:cs="Times New Roman"/>
          <w:sz w:val="26"/>
          <w:szCs w:val="26"/>
        </w:rPr>
        <w:t xml:space="preserve">and also ‘light regulation’ as consisting of measures and policies </w:t>
      </w:r>
      <w:r w:rsidR="00BA0199" w:rsidRPr="00257ACB">
        <w:rPr>
          <w:rFonts w:ascii="Times New Roman" w:eastAsia="바탕" w:hAnsi="Times New Roman" w:cs="Times New Roman"/>
          <w:sz w:val="26"/>
          <w:szCs w:val="26"/>
        </w:rPr>
        <w:t xml:space="preserve">targeting </w:t>
      </w:r>
      <w:r w:rsidR="003F050A" w:rsidRPr="00257ACB">
        <w:rPr>
          <w:rFonts w:ascii="Times New Roman" w:eastAsia="바탕" w:hAnsi="Times New Roman" w:cs="Times New Roman"/>
          <w:sz w:val="26"/>
          <w:szCs w:val="26"/>
        </w:rPr>
        <w:t>at securing reasonably orderly and consensual governance of personal work relations without</w:t>
      </w:r>
      <w:r w:rsidR="00830AB1" w:rsidRPr="00257ACB">
        <w:rPr>
          <w:rFonts w:ascii="Times New Roman" w:eastAsia="바탕" w:hAnsi="Times New Roman" w:cs="Times New Roman"/>
          <w:sz w:val="26"/>
          <w:szCs w:val="26"/>
        </w:rPr>
        <w:t xml:space="preserve"> </w:t>
      </w:r>
      <w:r w:rsidR="003F050A" w:rsidRPr="00257ACB">
        <w:rPr>
          <w:rFonts w:ascii="Times New Roman" w:eastAsia="바탕" w:hAnsi="Times New Roman" w:cs="Times New Roman"/>
          <w:sz w:val="26"/>
          <w:szCs w:val="26"/>
        </w:rPr>
        <w:t xml:space="preserve">restricting the freedom of action of enterprise management </w:t>
      </w:r>
      <w:r w:rsidR="00F84D38" w:rsidRPr="00257ACB">
        <w:rPr>
          <w:rFonts w:ascii="Times New Roman" w:eastAsia="바탕" w:hAnsi="Times New Roman" w:cs="Times New Roman"/>
          <w:sz w:val="26"/>
          <w:szCs w:val="26"/>
        </w:rPr>
        <w:t xml:space="preserve">in fundamental ways </w:t>
      </w:r>
      <w:r w:rsidR="003F050A" w:rsidRPr="00257ACB">
        <w:rPr>
          <w:rFonts w:ascii="Times New Roman" w:eastAsia="바탕" w:hAnsi="Times New Roman" w:cs="Times New Roman"/>
          <w:sz w:val="26"/>
          <w:szCs w:val="26"/>
        </w:rPr>
        <w:t xml:space="preserve">in </w:t>
      </w:r>
      <w:proofErr w:type="spellStart"/>
      <w:r w:rsidR="003F050A" w:rsidRPr="00257ACB">
        <w:rPr>
          <w:rFonts w:ascii="Times New Roman" w:eastAsia="바탕" w:hAnsi="Times New Roman" w:cs="Times New Roman"/>
          <w:sz w:val="26"/>
          <w:szCs w:val="26"/>
        </w:rPr>
        <w:t>favour</w:t>
      </w:r>
      <w:proofErr w:type="spellEnd"/>
      <w:r w:rsidR="003F050A" w:rsidRPr="00257ACB">
        <w:rPr>
          <w:rFonts w:ascii="Times New Roman" w:eastAsia="바탕" w:hAnsi="Times New Roman" w:cs="Times New Roman"/>
          <w:sz w:val="26"/>
          <w:szCs w:val="26"/>
        </w:rPr>
        <w:t xml:space="preserve"> of the protection of workers.</w:t>
      </w:r>
      <w:r w:rsidR="00BE3675">
        <w:rPr>
          <w:rStyle w:val="ae"/>
          <w:rFonts w:ascii="Times New Roman" w:eastAsia="바탕" w:hAnsi="Times New Roman" w:cs="Times New Roman"/>
          <w:sz w:val="26"/>
          <w:szCs w:val="26"/>
        </w:rPr>
        <w:footnoteReference w:id="494"/>
      </w:r>
      <w:r w:rsidR="00BF6DF8" w:rsidRPr="00257ACB">
        <w:rPr>
          <w:rFonts w:ascii="Times New Roman" w:eastAsia="바탕" w:hAnsi="Times New Roman" w:cs="Times New Roman"/>
          <w:sz w:val="26"/>
          <w:szCs w:val="26"/>
        </w:rPr>
        <w:t xml:space="preserve"> </w:t>
      </w:r>
      <w:r w:rsidR="00916151" w:rsidRPr="00257ACB">
        <w:rPr>
          <w:rFonts w:ascii="Times New Roman" w:eastAsia="바탕" w:hAnsi="Times New Roman" w:cs="Times New Roman"/>
          <w:sz w:val="26"/>
          <w:szCs w:val="26"/>
        </w:rPr>
        <w:t>To maintain that particular equilibrium, which can be best conceived of as a balance between excessive regulation and insufficient regulation is elusive</w:t>
      </w:r>
      <w:r w:rsidR="00B14D27" w:rsidRPr="00257ACB">
        <w:rPr>
          <w:rFonts w:ascii="Times New Roman" w:eastAsia="바탕" w:hAnsi="Times New Roman" w:cs="Times New Roman"/>
          <w:sz w:val="26"/>
          <w:szCs w:val="26"/>
        </w:rPr>
        <w:t xml:space="preserve"> goal</w:t>
      </w:r>
      <w:r w:rsidR="00916151" w:rsidRPr="00257ACB">
        <w:rPr>
          <w:rFonts w:ascii="Times New Roman" w:eastAsia="바탕" w:hAnsi="Times New Roman" w:cs="Times New Roman"/>
          <w:sz w:val="26"/>
          <w:szCs w:val="26"/>
        </w:rPr>
        <w:t xml:space="preserve"> for governments to achieve and maintain.</w:t>
      </w:r>
      <w:r w:rsidR="00BE3675">
        <w:rPr>
          <w:rStyle w:val="ae"/>
          <w:rFonts w:ascii="Times New Roman" w:eastAsia="바탕" w:hAnsi="Times New Roman" w:cs="Times New Roman"/>
          <w:sz w:val="26"/>
          <w:szCs w:val="26"/>
        </w:rPr>
        <w:footnoteReference w:id="495"/>
      </w:r>
      <w:r w:rsidR="00916151" w:rsidRPr="00257ACB">
        <w:rPr>
          <w:rFonts w:ascii="Times New Roman" w:eastAsia="바탕" w:hAnsi="Times New Roman" w:cs="Times New Roman"/>
          <w:sz w:val="26"/>
          <w:szCs w:val="26"/>
        </w:rPr>
        <w:t xml:space="preserve"> </w:t>
      </w:r>
      <w:r w:rsidR="004403E6" w:rsidRPr="00257ACB">
        <w:rPr>
          <w:rFonts w:ascii="Times New Roman" w:eastAsia="바탕" w:hAnsi="Times New Roman" w:cs="Times New Roman"/>
          <w:sz w:val="26"/>
          <w:szCs w:val="26"/>
        </w:rPr>
        <w:t>Also i</w:t>
      </w:r>
      <w:r w:rsidR="00FE296B" w:rsidRPr="00257ACB">
        <w:rPr>
          <w:rFonts w:ascii="Times New Roman" w:eastAsia="바탕" w:hAnsi="Times New Roman" w:cs="Times New Roman"/>
          <w:sz w:val="26"/>
          <w:szCs w:val="26"/>
        </w:rPr>
        <w:t xml:space="preserve">n order to do so, </w:t>
      </w:r>
      <w:r w:rsidR="003F1190" w:rsidRPr="00257ACB">
        <w:rPr>
          <w:rFonts w:ascii="Times New Roman" w:eastAsia="바탕" w:hAnsi="Times New Roman" w:cs="Times New Roman"/>
          <w:sz w:val="26"/>
          <w:szCs w:val="26"/>
        </w:rPr>
        <w:t xml:space="preserve">they frequently are required to engage in very intensive legislative activity, and they need an immense amount of compliance activity on the part of the managers of enterprises </w:t>
      </w:r>
      <w:r w:rsidR="00FE296B" w:rsidRPr="00257ACB">
        <w:rPr>
          <w:rFonts w:ascii="Times New Roman" w:eastAsia="바탕" w:hAnsi="Times New Roman" w:cs="Times New Roman"/>
          <w:sz w:val="26"/>
          <w:szCs w:val="26"/>
        </w:rPr>
        <w:t>to provide assurance that these delicate normative structures are being suitably operated.</w:t>
      </w:r>
      <w:r w:rsidR="00BE3675">
        <w:rPr>
          <w:rStyle w:val="ae"/>
          <w:rFonts w:ascii="Times New Roman" w:eastAsia="바탕" w:hAnsi="Times New Roman" w:cs="Times New Roman"/>
          <w:sz w:val="26"/>
          <w:szCs w:val="26"/>
        </w:rPr>
        <w:footnoteReference w:id="496"/>
      </w:r>
      <w:r w:rsidR="0049422C" w:rsidRPr="00257ACB">
        <w:rPr>
          <w:rFonts w:ascii="Times New Roman" w:eastAsia="바탕" w:hAnsi="Times New Roman" w:cs="Times New Roman"/>
          <w:sz w:val="26"/>
          <w:szCs w:val="26"/>
        </w:rPr>
        <w:t xml:space="preserve"> As there was a strong and widespread political perception of the existence of a ‘pension crisis’ </w:t>
      </w:r>
      <w:proofErr w:type="spellStart"/>
      <w:r w:rsidR="0049422C" w:rsidRPr="00257ACB">
        <w:rPr>
          <w:rFonts w:ascii="Times New Roman" w:eastAsia="바탕" w:hAnsi="Times New Roman" w:cs="Times New Roman"/>
          <w:sz w:val="26"/>
          <w:szCs w:val="26"/>
        </w:rPr>
        <w:t>throught</w:t>
      </w:r>
      <w:proofErr w:type="spellEnd"/>
      <w:r w:rsidR="0049422C" w:rsidRPr="00257ACB">
        <w:rPr>
          <w:rFonts w:ascii="Times New Roman" w:eastAsia="바탕" w:hAnsi="Times New Roman" w:cs="Times New Roman"/>
          <w:sz w:val="26"/>
          <w:szCs w:val="26"/>
        </w:rPr>
        <w:t xml:space="preserve"> this second phase of the New </w:t>
      </w:r>
      <w:proofErr w:type="spellStart"/>
      <w:r w:rsidR="0049422C" w:rsidRPr="00257ACB">
        <w:rPr>
          <w:rFonts w:ascii="Times New Roman" w:eastAsia="바탕" w:hAnsi="Times New Roman" w:cs="Times New Roman"/>
          <w:sz w:val="26"/>
          <w:szCs w:val="26"/>
        </w:rPr>
        <w:t>Labour</w:t>
      </w:r>
      <w:proofErr w:type="spellEnd"/>
      <w:r w:rsidR="0049422C" w:rsidRPr="00257ACB">
        <w:rPr>
          <w:rFonts w:ascii="Times New Roman" w:eastAsia="바탕" w:hAnsi="Times New Roman" w:cs="Times New Roman"/>
          <w:sz w:val="26"/>
          <w:szCs w:val="26"/>
        </w:rPr>
        <w:t xml:space="preserve"> administration, the responsive strategy of the second New </w:t>
      </w:r>
      <w:proofErr w:type="spellStart"/>
      <w:r w:rsidR="0049422C" w:rsidRPr="00257ACB">
        <w:rPr>
          <w:rFonts w:ascii="Times New Roman" w:eastAsia="바탕" w:hAnsi="Times New Roman" w:cs="Times New Roman"/>
          <w:sz w:val="26"/>
          <w:szCs w:val="26"/>
        </w:rPr>
        <w:t>Labour</w:t>
      </w:r>
      <w:proofErr w:type="spellEnd"/>
      <w:r w:rsidR="0049422C" w:rsidRPr="00257ACB">
        <w:rPr>
          <w:rFonts w:ascii="Times New Roman" w:eastAsia="바탕" w:hAnsi="Times New Roman" w:cs="Times New Roman"/>
          <w:sz w:val="26"/>
          <w:szCs w:val="26"/>
        </w:rPr>
        <w:t xml:space="preserve"> government was tentatively articulated in a Green Paper of December 2002</w:t>
      </w:r>
      <w:r w:rsidR="00EE027D" w:rsidRPr="00257ACB">
        <w:rPr>
          <w:rFonts w:ascii="Times New Roman" w:eastAsia="바탕" w:hAnsi="Times New Roman" w:cs="Times New Roman"/>
          <w:sz w:val="26"/>
          <w:szCs w:val="26"/>
        </w:rPr>
        <w:t xml:space="preserve"> and confirmed in a White Paper of June 2003, both promoted under the banner of ‘simplicity, security and choice’.</w:t>
      </w:r>
      <w:r w:rsidR="00BE3675">
        <w:rPr>
          <w:rStyle w:val="ae"/>
          <w:rFonts w:ascii="Times New Roman" w:eastAsia="바탕" w:hAnsi="Times New Roman" w:cs="Times New Roman"/>
          <w:sz w:val="26"/>
          <w:szCs w:val="26"/>
        </w:rPr>
        <w:footnoteReference w:id="497"/>
      </w:r>
      <w:r w:rsidR="00EE027D" w:rsidRPr="00257ACB">
        <w:rPr>
          <w:rFonts w:ascii="Times New Roman" w:eastAsia="바탕" w:hAnsi="Times New Roman" w:cs="Times New Roman"/>
          <w:sz w:val="26"/>
          <w:szCs w:val="26"/>
        </w:rPr>
        <w:t xml:space="preserve"> </w:t>
      </w:r>
      <w:r w:rsidR="00E06955" w:rsidRPr="00257ACB">
        <w:rPr>
          <w:rFonts w:ascii="Times New Roman" w:eastAsia="바탕" w:hAnsi="Times New Roman" w:cs="Times New Roman"/>
          <w:sz w:val="26"/>
          <w:szCs w:val="26"/>
        </w:rPr>
        <w:t xml:space="preserve">The 2004 Act created a new Pension Protection Fund to provide compensation to pension scheme members where their employing enterprise becomes insolvent and their </w:t>
      </w:r>
      <w:r w:rsidR="00E06955" w:rsidRPr="00257ACB">
        <w:rPr>
          <w:rFonts w:ascii="Times New Roman" w:eastAsia="바탕" w:hAnsi="Times New Roman" w:cs="Times New Roman"/>
          <w:sz w:val="26"/>
          <w:szCs w:val="26"/>
        </w:rPr>
        <w:lastRenderedPageBreak/>
        <w:t>pension scheme is underfunded.</w:t>
      </w:r>
      <w:r w:rsidR="00BE3675">
        <w:rPr>
          <w:rStyle w:val="ae"/>
          <w:rFonts w:ascii="Times New Roman" w:eastAsia="바탕" w:hAnsi="Times New Roman" w:cs="Times New Roman"/>
          <w:sz w:val="26"/>
          <w:szCs w:val="26"/>
        </w:rPr>
        <w:footnoteReference w:id="498"/>
      </w:r>
      <w:r w:rsidR="00585088" w:rsidRPr="00257ACB">
        <w:rPr>
          <w:rFonts w:ascii="Times New Roman" w:eastAsia="바탕" w:hAnsi="Times New Roman" w:cs="Times New Roman"/>
          <w:sz w:val="26"/>
          <w:szCs w:val="26"/>
        </w:rPr>
        <w:t xml:space="preserve"> </w:t>
      </w:r>
      <w:r w:rsidR="00481881" w:rsidRPr="00257ACB">
        <w:rPr>
          <w:rFonts w:ascii="Times New Roman" w:eastAsia="바탕" w:hAnsi="Times New Roman" w:cs="Times New Roman"/>
          <w:sz w:val="26"/>
          <w:szCs w:val="26"/>
        </w:rPr>
        <w:t>With the measures which represent the main elements of ‘heavy regulation’ such as the creation of a new Pension Protection Fund</w:t>
      </w:r>
      <w:r w:rsidR="00BC5A5C" w:rsidRPr="00257ACB">
        <w:rPr>
          <w:rFonts w:ascii="Times New Roman" w:eastAsia="바탕" w:hAnsi="Times New Roman" w:cs="Times New Roman"/>
          <w:sz w:val="26"/>
          <w:szCs w:val="26"/>
        </w:rPr>
        <w:t xml:space="preserve"> and a Financial Assistance Scheme</w:t>
      </w:r>
      <w:r w:rsidR="00481881" w:rsidRPr="00257ACB">
        <w:rPr>
          <w:rFonts w:ascii="Times New Roman" w:eastAsia="바탕" w:hAnsi="Times New Roman" w:cs="Times New Roman"/>
          <w:sz w:val="26"/>
          <w:szCs w:val="26"/>
        </w:rPr>
        <w:t xml:space="preserve"> to provide compensation to pension scheme members where their employing enterprise becomes insolvent and their pension scheme is underfunded</w:t>
      </w:r>
      <w:r w:rsidR="0058366F" w:rsidRPr="00257ACB">
        <w:rPr>
          <w:rFonts w:ascii="Times New Roman" w:eastAsia="바탕" w:hAnsi="Times New Roman" w:cs="Times New Roman"/>
          <w:sz w:val="26"/>
          <w:szCs w:val="26"/>
        </w:rPr>
        <w:t>,</w:t>
      </w:r>
      <w:r w:rsidR="00BC5A5C" w:rsidRPr="00257ACB">
        <w:rPr>
          <w:rFonts w:ascii="Times New Roman" w:eastAsia="바탕" w:hAnsi="Times New Roman" w:cs="Times New Roman"/>
          <w:sz w:val="26"/>
          <w:szCs w:val="26"/>
        </w:rPr>
        <w:t xml:space="preserve"> </w:t>
      </w:r>
      <w:r w:rsidR="00BE3675">
        <w:rPr>
          <w:rStyle w:val="ae"/>
          <w:rFonts w:ascii="Times New Roman" w:eastAsia="바탕" w:hAnsi="Times New Roman" w:cs="Times New Roman"/>
          <w:sz w:val="26"/>
          <w:szCs w:val="26"/>
        </w:rPr>
        <w:footnoteReference w:id="499"/>
      </w:r>
      <w:r w:rsidR="00BC5A5C" w:rsidRPr="00257ACB">
        <w:rPr>
          <w:rFonts w:ascii="Times New Roman" w:eastAsia="바탕" w:hAnsi="Times New Roman" w:cs="Times New Roman"/>
          <w:sz w:val="26"/>
          <w:szCs w:val="26"/>
        </w:rPr>
        <w:t>the rest of this legislation consists quite largely of lightly regulatory, and even at times de-regulatory interventions consisting of the creation of the new office of Pensions Regulator, an elaborately re-invented replacement for the Occupational Pensions Regulatory Authority (OPRA) into a newly innovated Statutory Funding Objective, to be supervised by the Pensions Regulator.</w:t>
      </w:r>
      <w:r w:rsidR="00BE3675">
        <w:rPr>
          <w:rStyle w:val="ae"/>
          <w:rFonts w:ascii="Times New Roman" w:eastAsia="바탕" w:hAnsi="Times New Roman" w:cs="Times New Roman"/>
          <w:sz w:val="26"/>
          <w:szCs w:val="26"/>
        </w:rPr>
        <w:footnoteReference w:id="500"/>
      </w:r>
      <w:r w:rsidR="006B6DFD" w:rsidRPr="00257ACB">
        <w:rPr>
          <w:rFonts w:ascii="Times New Roman" w:eastAsia="바탕" w:hAnsi="Times New Roman" w:cs="Times New Roman"/>
          <w:sz w:val="26"/>
          <w:szCs w:val="26"/>
        </w:rPr>
        <w:t xml:space="preserve"> The main Simplicity and choice White Paper, under the rubric of ‘Making pension provision easier for employers’</w:t>
      </w:r>
      <w:r w:rsidR="00BE3675">
        <w:rPr>
          <w:rStyle w:val="ae"/>
          <w:rFonts w:ascii="Times New Roman" w:eastAsia="바탕" w:hAnsi="Times New Roman" w:cs="Times New Roman"/>
          <w:sz w:val="26"/>
          <w:szCs w:val="26"/>
        </w:rPr>
        <w:footnoteReference w:id="501"/>
      </w:r>
      <w:r w:rsidR="006B6DFD" w:rsidRPr="00257ACB">
        <w:rPr>
          <w:rFonts w:ascii="Times New Roman" w:eastAsia="바탕" w:hAnsi="Times New Roman" w:cs="Times New Roman"/>
          <w:sz w:val="26"/>
          <w:szCs w:val="26"/>
        </w:rPr>
        <w:t>, makes it clear enough that this was intended to be a more ‘flexible’ set of requirements,</w:t>
      </w:r>
      <w:r w:rsidR="00BE3675">
        <w:rPr>
          <w:rStyle w:val="ae"/>
          <w:rFonts w:ascii="Times New Roman" w:eastAsia="바탕" w:hAnsi="Times New Roman" w:cs="Times New Roman"/>
          <w:sz w:val="26"/>
          <w:szCs w:val="26"/>
        </w:rPr>
        <w:footnoteReference w:id="502"/>
      </w:r>
      <w:r w:rsidR="006B6DFD" w:rsidRPr="00257ACB">
        <w:rPr>
          <w:rFonts w:ascii="Times New Roman" w:eastAsia="바탕" w:hAnsi="Times New Roman" w:cs="Times New Roman"/>
          <w:sz w:val="26"/>
          <w:szCs w:val="26"/>
        </w:rPr>
        <w:t xml:space="preserve"> supervised by a correspondingly more ‘flexible’ regulator.</w:t>
      </w:r>
      <w:r w:rsidR="00BE3675">
        <w:rPr>
          <w:rStyle w:val="ae"/>
          <w:rFonts w:ascii="Times New Roman" w:eastAsia="바탕" w:hAnsi="Times New Roman" w:cs="Times New Roman"/>
          <w:sz w:val="26"/>
          <w:szCs w:val="26"/>
        </w:rPr>
        <w:footnoteReference w:id="503"/>
      </w:r>
      <w:r w:rsidR="005D6D31" w:rsidRPr="00257ACB">
        <w:rPr>
          <w:rFonts w:ascii="Times New Roman" w:eastAsia="바탕" w:hAnsi="Times New Roman" w:cs="Times New Roman"/>
          <w:sz w:val="26"/>
          <w:szCs w:val="26"/>
        </w:rPr>
        <w:t xml:space="preserve"> </w:t>
      </w:r>
      <w:r w:rsidR="00C77506" w:rsidRPr="00257ACB">
        <w:rPr>
          <w:rFonts w:ascii="Times New Roman" w:eastAsia="바탕" w:hAnsi="Times New Roman" w:cs="Times New Roman"/>
          <w:sz w:val="26"/>
          <w:szCs w:val="26"/>
        </w:rPr>
        <w:t xml:space="preserve">The 2004 Act mainly continued the occupational pensions system in its movement along a path upon which it had been launched </w:t>
      </w:r>
      <w:r w:rsidR="007171E2" w:rsidRPr="00257ACB">
        <w:rPr>
          <w:rFonts w:ascii="Times New Roman" w:eastAsia="바탕" w:hAnsi="Times New Roman" w:cs="Times New Roman"/>
          <w:sz w:val="26"/>
          <w:szCs w:val="26"/>
        </w:rPr>
        <w:t>in the later 1980s and promoted in the earlier 1990s.</w:t>
      </w:r>
      <w:r w:rsidR="00BE3675">
        <w:rPr>
          <w:rStyle w:val="ae"/>
          <w:rFonts w:ascii="Times New Roman" w:eastAsia="바탕" w:hAnsi="Times New Roman" w:cs="Times New Roman"/>
          <w:sz w:val="26"/>
          <w:szCs w:val="26"/>
        </w:rPr>
        <w:footnoteReference w:id="504"/>
      </w:r>
      <w:r w:rsidR="007171E2" w:rsidRPr="00257ACB">
        <w:rPr>
          <w:rFonts w:ascii="Times New Roman" w:eastAsia="바탕" w:hAnsi="Times New Roman" w:cs="Times New Roman"/>
          <w:sz w:val="26"/>
          <w:szCs w:val="26"/>
        </w:rPr>
        <w:t xml:space="preserve"> The key detriment of that path could be indicated as the shift away from defined benefit final salary pension provision towards defined contribution money purchase pension schemes. </w:t>
      </w:r>
      <w:r w:rsidR="00764646" w:rsidRPr="00257ACB">
        <w:rPr>
          <w:rFonts w:ascii="Times New Roman" w:eastAsia="바탕" w:hAnsi="Times New Roman" w:cs="Times New Roman"/>
          <w:sz w:val="26"/>
          <w:szCs w:val="26"/>
        </w:rPr>
        <w:t xml:space="preserve">It can be </w:t>
      </w:r>
      <w:proofErr w:type="spellStart"/>
      <w:r w:rsidR="00591CC9" w:rsidRPr="00257ACB">
        <w:rPr>
          <w:rFonts w:ascii="Times New Roman" w:eastAsia="바탕" w:hAnsi="Times New Roman" w:cs="Times New Roman"/>
          <w:sz w:val="26"/>
          <w:szCs w:val="26"/>
        </w:rPr>
        <w:t>analysed</w:t>
      </w:r>
      <w:proofErr w:type="spellEnd"/>
      <w:r w:rsidR="00764646" w:rsidRPr="00257ACB">
        <w:rPr>
          <w:rFonts w:ascii="Times New Roman" w:eastAsia="바탕" w:hAnsi="Times New Roman" w:cs="Times New Roman"/>
          <w:sz w:val="26"/>
          <w:szCs w:val="26"/>
        </w:rPr>
        <w:t xml:space="preserve"> that it was the </w:t>
      </w:r>
      <w:r w:rsidR="009F64D6" w:rsidRPr="00257ACB">
        <w:rPr>
          <w:rFonts w:ascii="Times New Roman" w:eastAsia="바탕" w:hAnsi="Times New Roman" w:cs="Times New Roman"/>
          <w:sz w:val="26"/>
          <w:szCs w:val="26"/>
        </w:rPr>
        <w:t>key</w:t>
      </w:r>
      <w:r w:rsidR="00764646" w:rsidRPr="00257ACB">
        <w:rPr>
          <w:rFonts w:ascii="Times New Roman" w:eastAsia="바탕" w:hAnsi="Times New Roman" w:cs="Times New Roman"/>
          <w:sz w:val="26"/>
          <w:szCs w:val="26"/>
        </w:rPr>
        <w:t xml:space="preserve"> role of the 2004 Act as well as of the 1995 Act, to design the overall regulatory system for occupational pension provision, so as to </w:t>
      </w:r>
      <w:r w:rsidR="00591CC9" w:rsidRPr="00257ACB">
        <w:rPr>
          <w:rFonts w:ascii="Times New Roman" w:eastAsia="바탕" w:hAnsi="Times New Roman" w:cs="Times New Roman"/>
          <w:sz w:val="26"/>
          <w:szCs w:val="26"/>
        </w:rPr>
        <w:t xml:space="preserve">protect and incentivize the dynamic towards money purchase pension provision, and ultimately money purchase from financial service </w:t>
      </w:r>
      <w:r w:rsidR="009F64D6" w:rsidRPr="00257ACB">
        <w:rPr>
          <w:rFonts w:ascii="Times New Roman" w:eastAsia="바탕" w:hAnsi="Times New Roman" w:cs="Times New Roman"/>
          <w:sz w:val="26"/>
          <w:szCs w:val="26"/>
        </w:rPr>
        <w:t>providers rather than from pension funds run by or attached to employing enterprises.</w:t>
      </w:r>
      <w:r w:rsidR="00BE3675">
        <w:rPr>
          <w:rStyle w:val="ae"/>
          <w:rFonts w:ascii="Times New Roman" w:eastAsia="바탕" w:hAnsi="Times New Roman" w:cs="Times New Roman"/>
          <w:sz w:val="26"/>
          <w:szCs w:val="26"/>
        </w:rPr>
        <w:footnoteReference w:id="505"/>
      </w:r>
      <w:r w:rsidR="00CB28A3" w:rsidRPr="00257ACB">
        <w:rPr>
          <w:rFonts w:ascii="Times New Roman" w:eastAsia="바탕" w:hAnsi="Times New Roman" w:cs="Times New Roman"/>
          <w:sz w:val="26"/>
          <w:szCs w:val="26"/>
        </w:rPr>
        <w:t xml:space="preserve"> </w:t>
      </w:r>
      <w:r w:rsidR="00AD0A88" w:rsidRPr="00257ACB">
        <w:rPr>
          <w:rFonts w:ascii="Times New Roman" w:eastAsia="바탕" w:hAnsi="Times New Roman" w:cs="Times New Roman"/>
          <w:sz w:val="26"/>
          <w:szCs w:val="26"/>
        </w:rPr>
        <w:t xml:space="preserve">It has been indicated in many ways that the design of the legislative package of 2004-5 was shaped and </w:t>
      </w:r>
      <w:proofErr w:type="spellStart"/>
      <w:r w:rsidR="000836EC" w:rsidRPr="00257ACB">
        <w:rPr>
          <w:rFonts w:ascii="Times New Roman" w:eastAsia="바탕" w:hAnsi="Times New Roman" w:cs="Times New Roman"/>
          <w:sz w:val="26"/>
          <w:szCs w:val="26"/>
        </w:rPr>
        <w:t>realised</w:t>
      </w:r>
      <w:proofErr w:type="spellEnd"/>
      <w:r w:rsidR="000836EC" w:rsidRPr="00257ACB">
        <w:rPr>
          <w:rFonts w:ascii="Times New Roman" w:eastAsia="바탕" w:hAnsi="Times New Roman" w:cs="Times New Roman"/>
          <w:sz w:val="26"/>
          <w:szCs w:val="26"/>
        </w:rPr>
        <w:t xml:space="preserve"> </w:t>
      </w:r>
      <w:r w:rsidR="00AD0A88" w:rsidRPr="00257ACB">
        <w:rPr>
          <w:rFonts w:ascii="Times New Roman" w:eastAsia="바탕" w:hAnsi="Times New Roman" w:cs="Times New Roman"/>
          <w:sz w:val="26"/>
          <w:szCs w:val="26"/>
        </w:rPr>
        <w:t xml:space="preserve">by an ideological and political vision of the worker as the consumer of financial services in a free market of saving opportunities, rather than as the </w:t>
      </w:r>
      <w:r w:rsidR="00AD0A88" w:rsidRPr="00257ACB">
        <w:rPr>
          <w:rFonts w:ascii="Times New Roman" w:eastAsia="바탕" w:hAnsi="Times New Roman" w:cs="Times New Roman"/>
          <w:sz w:val="26"/>
          <w:szCs w:val="26"/>
        </w:rPr>
        <w:lastRenderedPageBreak/>
        <w:t xml:space="preserve">protected subject of </w:t>
      </w:r>
      <w:proofErr w:type="spellStart"/>
      <w:r w:rsidR="00AD0A88" w:rsidRPr="00257ACB">
        <w:rPr>
          <w:rFonts w:ascii="Times New Roman" w:eastAsia="바탕" w:hAnsi="Times New Roman" w:cs="Times New Roman"/>
          <w:sz w:val="26"/>
          <w:szCs w:val="26"/>
        </w:rPr>
        <w:t>labour</w:t>
      </w:r>
      <w:proofErr w:type="spellEnd"/>
      <w:r w:rsidR="00AD0A88" w:rsidRPr="00257ACB">
        <w:rPr>
          <w:rFonts w:ascii="Times New Roman" w:eastAsia="바탕" w:hAnsi="Times New Roman" w:cs="Times New Roman"/>
          <w:sz w:val="26"/>
          <w:szCs w:val="26"/>
        </w:rPr>
        <w:t xml:space="preserve"> law in retirement as well as in work.</w:t>
      </w:r>
      <w:r w:rsidR="00BE3675">
        <w:rPr>
          <w:rStyle w:val="ae"/>
          <w:rFonts w:ascii="Times New Roman" w:eastAsia="바탕" w:hAnsi="Times New Roman" w:cs="Times New Roman"/>
          <w:sz w:val="26"/>
          <w:szCs w:val="26"/>
        </w:rPr>
        <w:footnoteReference w:id="506"/>
      </w:r>
      <w:r w:rsidR="001111BA" w:rsidRPr="00257ACB">
        <w:rPr>
          <w:rFonts w:ascii="Times New Roman" w:eastAsia="바탕" w:hAnsi="Times New Roman" w:cs="Times New Roman"/>
          <w:sz w:val="26"/>
          <w:szCs w:val="26"/>
        </w:rPr>
        <w:t xml:space="preserve"> </w:t>
      </w:r>
      <w:r w:rsidR="00204238" w:rsidRPr="00257ACB">
        <w:rPr>
          <w:rFonts w:ascii="Times New Roman" w:eastAsia="바탕" w:hAnsi="Times New Roman" w:cs="Times New Roman"/>
          <w:sz w:val="26"/>
          <w:szCs w:val="26"/>
        </w:rPr>
        <w:t xml:space="preserve">The government published in May 2006 a White Paper </w:t>
      </w:r>
      <w:r w:rsidR="00204238" w:rsidRPr="00257ACB">
        <w:rPr>
          <w:rFonts w:ascii="Times New Roman" w:eastAsia="바탕" w:hAnsi="Times New Roman" w:cs="Times New Roman"/>
          <w:i/>
          <w:sz w:val="26"/>
          <w:szCs w:val="26"/>
        </w:rPr>
        <w:t>Security in retirement: towards a new pensions system</w:t>
      </w:r>
      <w:r w:rsidR="00BE3675">
        <w:rPr>
          <w:rStyle w:val="ae"/>
          <w:rFonts w:ascii="Times New Roman" w:eastAsia="바탕" w:hAnsi="Times New Roman" w:cs="Times New Roman"/>
          <w:i/>
          <w:sz w:val="26"/>
          <w:szCs w:val="26"/>
        </w:rPr>
        <w:footnoteReference w:id="507"/>
      </w:r>
      <w:r w:rsidR="00204238" w:rsidRPr="00257ACB">
        <w:rPr>
          <w:rFonts w:ascii="Times New Roman" w:eastAsia="바탕" w:hAnsi="Times New Roman" w:cs="Times New Roman"/>
          <w:i/>
          <w:sz w:val="26"/>
          <w:szCs w:val="26"/>
        </w:rPr>
        <w:t>,</w:t>
      </w:r>
      <w:r w:rsidR="00204238" w:rsidRPr="00257ACB">
        <w:rPr>
          <w:rFonts w:ascii="Times New Roman" w:eastAsia="바탕" w:hAnsi="Times New Roman" w:cs="Times New Roman"/>
          <w:sz w:val="26"/>
          <w:szCs w:val="26"/>
        </w:rPr>
        <w:t xml:space="preserve"> </w:t>
      </w:r>
      <w:r w:rsidR="006257FD" w:rsidRPr="00257ACB">
        <w:rPr>
          <w:rFonts w:ascii="Times New Roman" w:eastAsia="바탕" w:hAnsi="Times New Roman" w:cs="Times New Roman"/>
          <w:sz w:val="26"/>
          <w:szCs w:val="26"/>
        </w:rPr>
        <w:t xml:space="preserve">enhanced about the term of ‘affordability’ </w:t>
      </w:r>
      <w:r w:rsidR="00BE3675">
        <w:rPr>
          <w:rStyle w:val="ae"/>
          <w:rFonts w:ascii="Times New Roman" w:eastAsia="바탕" w:hAnsi="Times New Roman" w:cs="Times New Roman"/>
          <w:sz w:val="26"/>
          <w:szCs w:val="26"/>
        </w:rPr>
        <w:footnoteReference w:id="508"/>
      </w:r>
      <w:r w:rsidR="006257FD" w:rsidRPr="00257ACB">
        <w:rPr>
          <w:rFonts w:ascii="Times New Roman" w:eastAsia="바탕" w:hAnsi="Times New Roman" w:cs="Times New Roman"/>
          <w:sz w:val="26"/>
          <w:szCs w:val="26"/>
        </w:rPr>
        <w:t xml:space="preserve">and also </w:t>
      </w:r>
      <w:r w:rsidR="00266A72" w:rsidRPr="00257ACB">
        <w:rPr>
          <w:rFonts w:ascii="Times New Roman" w:eastAsia="바탕" w:hAnsi="Times New Roman" w:cs="Times New Roman"/>
          <w:sz w:val="26"/>
          <w:szCs w:val="26"/>
        </w:rPr>
        <w:t xml:space="preserve">the ways in which they support two central themes of our present work, namely the strength of the commitment on the part of the New </w:t>
      </w:r>
      <w:proofErr w:type="spellStart"/>
      <w:r w:rsidR="00266A72" w:rsidRPr="00257ACB">
        <w:rPr>
          <w:rFonts w:ascii="Times New Roman" w:eastAsia="바탕" w:hAnsi="Times New Roman" w:cs="Times New Roman"/>
          <w:sz w:val="26"/>
          <w:szCs w:val="26"/>
        </w:rPr>
        <w:t>Labour</w:t>
      </w:r>
      <w:proofErr w:type="spellEnd"/>
      <w:r w:rsidR="00266A72" w:rsidRPr="00257ACB">
        <w:rPr>
          <w:rFonts w:ascii="Times New Roman" w:eastAsia="바탕" w:hAnsi="Times New Roman" w:cs="Times New Roman"/>
          <w:sz w:val="26"/>
          <w:szCs w:val="26"/>
        </w:rPr>
        <w:t xml:space="preserve"> administration to ‘light regulation’, and to ‘promoting work’ in the sense of channeling state welfare provision through the maximizing of employment.</w:t>
      </w:r>
      <w:r w:rsidR="00BE3675">
        <w:rPr>
          <w:rStyle w:val="ae"/>
          <w:rFonts w:ascii="Times New Roman" w:eastAsia="바탕" w:hAnsi="Times New Roman" w:cs="Times New Roman"/>
          <w:sz w:val="26"/>
          <w:szCs w:val="26"/>
        </w:rPr>
        <w:footnoteReference w:id="509"/>
      </w:r>
      <w:r w:rsidR="005A2B1D" w:rsidRPr="00257ACB">
        <w:rPr>
          <w:rFonts w:ascii="Times New Roman" w:eastAsia="바탕" w:hAnsi="Times New Roman" w:cs="Times New Roman"/>
          <w:sz w:val="26"/>
          <w:szCs w:val="26"/>
        </w:rPr>
        <w:t xml:space="preserve"> The important part of the government’s strategy of ‘promoting work’ is that of creating the right conditions and incentives for the extension of the duration of working life in keeping with the increase in the longevity of the population.</w:t>
      </w:r>
      <w:r w:rsidR="00BE3675">
        <w:rPr>
          <w:rStyle w:val="ae"/>
          <w:rFonts w:ascii="Times New Roman" w:eastAsia="바탕" w:hAnsi="Times New Roman" w:cs="Times New Roman"/>
          <w:sz w:val="26"/>
          <w:szCs w:val="26"/>
        </w:rPr>
        <w:footnoteReference w:id="510"/>
      </w:r>
      <w:r w:rsidR="006875E2" w:rsidRPr="00257ACB">
        <w:rPr>
          <w:rFonts w:ascii="Times New Roman" w:eastAsia="바탕" w:hAnsi="Times New Roman" w:cs="Times New Roman"/>
          <w:sz w:val="26"/>
          <w:szCs w:val="26"/>
        </w:rPr>
        <w:t xml:space="preserve"> T</w:t>
      </w:r>
      <w:r w:rsidR="00947B63" w:rsidRPr="00257ACB">
        <w:rPr>
          <w:rFonts w:ascii="Times New Roman" w:eastAsia="바탕" w:hAnsi="Times New Roman" w:cs="Times New Roman"/>
          <w:sz w:val="26"/>
          <w:szCs w:val="26"/>
        </w:rPr>
        <w:t xml:space="preserve">his White Paper represented a real future significance in terms of the idea and politics of ‘promoting work’ and also a vivid illustration of the growing pre-occupation of the New </w:t>
      </w:r>
      <w:proofErr w:type="spellStart"/>
      <w:r w:rsidR="00947B63" w:rsidRPr="00257ACB">
        <w:rPr>
          <w:rFonts w:ascii="Times New Roman" w:eastAsia="바탕" w:hAnsi="Times New Roman" w:cs="Times New Roman"/>
          <w:sz w:val="26"/>
          <w:szCs w:val="26"/>
        </w:rPr>
        <w:t>Labour</w:t>
      </w:r>
      <w:proofErr w:type="spellEnd"/>
      <w:r w:rsidR="00947B63" w:rsidRPr="00257ACB">
        <w:rPr>
          <w:rFonts w:ascii="Times New Roman" w:eastAsia="바탕" w:hAnsi="Times New Roman" w:cs="Times New Roman"/>
          <w:sz w:val="26"/>
          <w:szCs w:val="26"/>
        </w:rPr>
        <w:t xml:space="preserve"> administration with ‘light regulation’.</w:t>
      </w:r>
      <w:r w:rsidR="00BE3675">
        <w:rPr>
          <w:rStyle w:val="ae"/>
          <w:rFonts w:ascii="Times New Roman" w:eastAsia="바탕" w:hAnsi="Times New Roman" w:cs="Times New Roman"/>
          <w:sz w:val="26"/>
          <w:szCs w:val="26"/>
        </w:rPr>
        <w:footnoteReference w:id="511"/>
      </w:r>
      <w:r w:rsidR="001B35B8" w:rsidRPr="00257ACB">
        <w:rPr>
          <w:rFonts w:ascii="Times New Roman" w:eastAsia="바탕" w:hAnsi="Times New Roman" w:cs="Times New Roman"/>
          <w:sz w:val="26"/>
          <w:szCs w:val="26"/>
        </w:rPr>
        <w:t xml:space="preserve"> The Executive Summary of the White Paper concludes its resume of the government’s intentions with such a classic </w:t>
      </w:r>
      <w:r w:rsidR="00297A7C" w:rsidRPr="00257ACB">
        <w:rPr>
          <w:rFonts w:ascii="Times New Roman" w:eastAsia="바탕" w:hAnsi="Times New Roman" w:cs="Times New Roman"/>
          <w:sz w:val="26"/>
          <w:szCs w:val="26"/>
        </w:rPr>
        <w:t>way of</w:t>
      </w:r>
      <w:r w:rsidR="001B35B8" w:rsidRPr="00257ACB">
        <w:rPr>
          <w:rFonts w:ascii="Times New Roman" w:eastAsia="바탕" w:hAnsi="Times New Roman" w:cs="Times New Roman"/>
          <w:sz w:val="26"/>
          <w:szCs w:val="26"/>
        </w:rPr>
        <w:t xml:space="preserve"> ‘light regulation’ </w:t>
      </w:r>
      <w:r w:rsidR="00297A7C" w:rsidRPr="00257ACB">
        <w:rPr>
          <w:rFonts w:ascii="Times New Roman" w:eastAsia="바탕" w:hAnsi="Times New Roman" w:cs="Times New Roman"/>
          <w:sz w:val="26"/>
          <w:szCs w:val="26"/>
        </w:rPr>
        <w:t>quoting that they will streamline the regulatory environment by reducing burdens on schemes by bringing forward legislation to allow schemes to convert Guaranteed Minimum Pension rights into scheme benefits, introducing a rolling deregulatory review of pensions legislation, in light of the Pensions Act 2004, piloting a Pensions Law Rewrite Project and re-examining the existing regulatory landscape.</w:t>
      </w:r>
      <w:r w:rsidR="00BE3675">
        <w:rPr>
          <w:rStyle w:val="ae"/>
          <w:rFonts w:ascii="Times New Roman" w:eastAsia="바탕" w:hAnsi="Times New Roman" w:cs="Times New Roman"/>
          <w:sz w:val="26"/>
          <w:szCs w:val="26"/>
        </w:rPr>
        <w:footnoteReference w:id="512"/>
      </w:r>
      <w:r w:rsidR="00297A7C" w:rsidRPr="00257ACB">
        <w:rPr>
          <w:rFonts w:ascii="Times New Roman" w:eastAsia="바탕" w:hAnsi="Times New Roman" w:cs="Times New Roman"/>
          <w:sz w:val="26"/>
          <w:szCs w:val="26"/>
        </w:rPr>
        <w:t xml:space="preserve"> Furthermore, they continued that any such simplification will be aimed at easing the regulatory burden on employers who provide good occupational pensions.</w:t>
      </w:r>
      <w:r w:rsidR="009E6F00" w:rsidRPr="00257ACB">
        <w:rPr>
          <w:rFonts w:ascii="Times New Roman" w:eastAsia="바탕" w:hAnsi="Times New Roman" w:cs="Times New Roman"/>
          <w:sz w:val="26"/>
          <w:szCs w:val="26"/>
        </w:rPr>
        <w:t xml:space="preserve"> Occupational pensions and other measures in the government’s proposed agenda will be taken forward </w:t>
      </w:r>
      <w:proofErr w:type="gramStart"/>
      <w:r w:rsidR="009E6F00" w:rsidRPr="00257ACB">
        <w:rPr>
          <w:rFonts w:ascii="Times New Roman" w:eastAsia="바탕" w:hAnsi="Times New Roman" w:cs="Times New Roman"/>
          <w:sz w:val="26"/>
          <w:szCs w:val="26"/>
        </w:rPr>
        <w:t>with regard to</w:t>
      </w:r>
      <w:proofErr w:type="gramEnd"/>
      <w:r w:rsidR="009E6F00" w:rsidRPr="00257ACB">
        <w:rPr>
          <w:rFonts w:ascii="Times New Roman" w:eastAsia="바탕" w:hAnsi="Times New Roman" w:cs="Times New Roman"/>
          <w:sz w:val="26"/>
          <w:szCs w:val="26"/>
        </w:rPr>
        <w:t xml:space="preserve"> the </w:t>
      </w:r>
      <w:r w:rsidR="009E6F00" w:rsidRPr="00257ACB">
        <w:rPr>
          <w:rFonts w:ascii="Times New Roman" w:eastAsia="바탕" w:hAnsi="Times New Roman" w:cs="Times New Roman"/>
          <w:sz w:val="26"/>
          <w:szCs w:val="26"/>
        </w:rPr>
        <w:lastRenderedPageBreak/>
        <w:t>Government’s wider agenda to promote better regulation and reduce the administrative burdens on business.</w:t>
      </w:r>
      <w:r w:rsidR="00BE3675">
        <w:rPr>
          <w:rStyle w:val="ae"/>
          <w:rFonts w:ascii="Times New Roman" w:eastAsia="바탕" w:hAnsi="Times New Roman" w:cs="Times New Roman"/>
          <w:sz w:val="26"/>
          <w:szCs w:val="26"/>
        </w:rPr>
        <w:footnoteReference w:id="513"/>
      </w:r>
    </w:p>
    <w:p w14:paraId="726603EE" w14:textId="18B55E49" w:rsidR="001B35B8" w:rsidRPr="00257ACB" w:rsidRDefault="00814A7E" w:rsidP="00FB22F2">
      <w:pPr>
        <w:rPr>
          <w:rFonts w:ascii="Times New Roman" w:eastAsia="바탕" w:hAnsi="Times New Roman" w:cs="Times New Roman"/>
          <w:sz w:val="26"/>
          <w:szCs w:val="26"/>
        </w:rPr>
      </w:pPr>
      <w:r w:rsidRPr="00257ACB">
        <w:rPr>
          <w:rFonts w:ascii="Times New Roman" w:eastAsia="바탕" w:hAnsi="Times New Roman" w:cs="Times New Roman"/>
          <w:sz w:val="26"/>
          <w:szCs w:val="26"/>
        </w:rPr>
        <w:t xml:space="preserve">Furthermore, </w:t>
      </w:r>
      <w:proofErr w:type="gramStart"/>
      <w:r w:rsidRPr="00257ACB">
        <w:rPr>
          <w:rFonts w:ascii="Times New Roman" w:eastAsia="바탕" w:hAnsi="Times New Roman" w:cs="Times New Roman"/>
          <w:sz w:val="26"/>
          <w:szCs w:val="26"/>
        </w:rPr>
        <w:t>in</w:t>
      </w:r>
      <w:r w:rsidR="00DB0620" w:rsidRPr="00257ACB">
        <w:rPr>
          <w:rFonts w:ascii="Times New Roman" w:eastAsia="바탕" w:hAnsi="Times New Roman" w:cs="Times New Roman"/>
          <w:sz w:val="26"/>
          <w:szCs w:val="26"/>
        </w:rPr>
        <w:t xml:space="preserve"> </w:t>
      </w:r>
      <w:r w:rsidR="0061112F" w:rsidRPr="00257ACB">
        <w:rPr>
          <w:rFonts w:ascii="Times New Roman" w:eastAsia="바탕" w:hAnsi="Times New Roman" w:cs="Times New Roman"/>
          <w:sz w:val="26"/>
          <w:szCs w:val="26"/>
        </w:rPr>
        <w:t>the area of</w:t>
      </w:r>
      <w:proofErr w:type="gramEnd"/>
      <w:r w:rsidR="0061112F" w:rsidRPr="00257ACB">
        <w:rPr>
          <w:rFonts w:ascii="Times New Roman" w:eastAsia="바탕" w:hAnsi="Times New Roman" w:cs="Times New Roman"/>
          <w:sz w:val="26"/>
          <w:szCs w:val="26"/>
        </w:rPr>
        <w:t xml:space="preserve"> basic </w:t>
      </w:r>
      <w:proofErr w:type="spellStart"/>
      <w:r w:rsidR="0061112F" w:rsidRPr="00257ACB">
        <w:rPr>
          <w:rFonts w:ascii="Times New Roman" w:eastAsia="바탕" w:hAnsi="Times New Roman" w:cs="Times New Roman"/>
          <w:sz w:val="26"/>
          <w:szCs w:val="26"/>
        </w:rPr>
        <w:t>labour</w:t>
      </w:r>
      <w:proofErr w:type="spellEnd"/>
      <w:r w:rsidR="0061112F" w:rsidRPr="00257ACB">
        <w:rPr>
          <w:rFonts w:ascii="Times New Roman" w:eastAsia="바탕" w:hAnsi="Times New Roman" w:cs="Times New Roman"/>
          <w:sz w:val="26"/>
          <w:szCs w:val="26"/>
        </w:rPr>
        <w:t xml:space="preserve"> standards and worker protection, </w:t>
      </w:r>
      <w:r w:rsidRPr="00257ACB">
        <w:rPr>
          <w:rFonts w:ascii="Times New Roman" w:eastAsia="바탕" w:hAnsi="Times New Roman" w:cs="Times New Roman"/>
          <w:sz w:val="26"/>
          <w:szCs w:val="26"/>
        </w:rPr>
        <w:t xml:space="preserve">some further legislative examples </w:t>
      </w:r>
      <w:r w:rsidR="00A25457" w:rsidRPr="00257ACB">
        <w:rPr>
          <w:rFonts w:ascii="Times New Roman" w:eastAsia="바탕" w:hAnsi="Times New Roman" w:cs="Times New Roman"/>
          <w:sz w:val="26"/>
          <w:szCs w:val="26"/>
        </w:rPr>
        <w:t xml:space="preserve">of the ‘light regulation’ </w:t>
      </w:r>
      <w:r w:rsidRPr="00257ACB">
        <w:rPr>
          <w:rFonts w:ascii="Times New Roman" w:eastAsia="바탕" w:hAnsi="Times New Roman" w:cs="Times New Roman"/>
          <w:sz w:val="26"/>
          <w:szCs w:val="26"/>
        </w:rPr>
        <w:t xml:space="preserve">can be </w:t>
      </w:r>
      <w:r w:rsidR="00655F05" w:rsidRPr="00257ACB">
        <w:rPr>
          <w:rFonts w:ascii="Times New Roman" w:eastAsia="바탕" w:hAnsi="Times New Roman" w:cs="Times New Roman"/>
          <w:sz w:val="26"/>
          <w:szCs w:val="26"/>
        </w:rPr>
        <w:t>illustrated</w:t>
      </w:r>
      <w:r w:rsidRPr="00257ACB">
        <w:rPr>
          <w:rFonts w:ascii="Times New Roman" w:eastAsia="바탕" w:hAnsi="Times New Roman" w:cs="Times New Roman"/>
          <w:sz w:val="26"/>
          <w:szCs w:val="26"/>
        </w:rPr>
        <w:t xml:space="preserve">. </w:t>
      </w:r>
      <w:r w:rsidR="00E53624" w:rsidRPr="00257ACB">
        <w:rPr>
          <w:rFonts w:ascii="Times New Roman" w:eastAsia="바탕" w:hAnsi="Times New Roman" w:cs="Times New Roman"/>
          <w:sz w:val="26"/>
          <w:szCs w:val="26"/>
        </w:rPr>
        <w:t xml:space="preserve">One of the examples concerned the abuses and malpractices occurring </w:t>
      </w:r>
      <w:proofErr w:type="gramStart"/>
      <w:r w:rsidR="00E53624" w:rsidRPr="00257ACB">
        <w:rPr>
          <w:rFonts w:ascii="Times New Roman" w:eastAsia="바탕" w:hAnsi="Times New Roman" w:cs="Times New Roman"/>
          <w:sz w:val="26"/>
          <w:szCs w:val="26"/>
        </w:rPr>
        <w:t>in the course of</w:t>
      </w:r>
      <w:proofErr w:type="gramEnd"/>
      <w:r w:rsidR="00E53624" w:rsidRPr="00257ACB">
        <w:rPr>
          <w:rFonts w:ascii="Times New Roman" w:eastAsia="바탕" w:hAnsi="Times New Roman" w:cs="Times New Roman"/>
          <w:sz w:val="26"/>
          <w:szCs w:val="26"/>
        </w:rPr>
        <w:t xml:space="preserve"> the employment of </w:t>
      </w:r>
      <w:proofErr w:type="spellStart"/>
      <w:r w:rsidR="00E53624" w:rsidRPr="00257ACB">
        <w:rPr>
          <w:rFonts w:ascii="Times New Roman" w:eastAsia="바탕" w:hAnsi="Times New Roman" w:cs="Times New Roman"/>
          <w:sz w:val="26"/>
          <w:szCs w:val="26"/>
        </w:rPr>
        <w:t>labourers</w:t>
      </w:r>
      <w:proofErr w:type="spellEnd"/>
      <w:r w:rsidR="00E53624" w:rsidRPr="00257ACB">
        <w:rPr>
          <w:rFonts w:ascii="Times New Roman" w:eastAsia="바탕" w:hAnsi="Times New Roman" w:cs="Times New Roman"/>
          <w:sz w:val="26"/>
          <w:szCs w:val="26"/>
        </w:rPr>
        <w:t xml:space="preserve"> by </w:t>
      </w:r>
      <w:proofErr w:type="spellStart"/>
      <w:r w:rsidR="00E53624" w:rsidRPr="00257ACB">
        <w:rPr>
          <w:rFonts w:ascii="Times New Roman" w:eastAsia="바탕" w:hAnsi="Times New Roman" w:cs="Times New Roman"/>
          <w:sz w:val="26"/>
          <w:szCs w:val="26"/>
        </w:rPr>
        <w:t>gangmasters</w:t>
      </w:r>
      <w:proofErr w:type="spellEnd"/>
      <w:r w:rsidR="00A25457" w:rsidRPr="00257ACB">
        <w:rPr>
          <w:rFonts w:ascii="Times New Roman" w:eastAsia="바탕" w:hAnsi="Times New Roman" w:cs="Times New Roman"/>
          <w:sz w:val="26"/>
          <w:szCs w:val="26"/>
        </w:rPr>
        <w:t xml:space="preserve">. </w:t>
      </w:r>
      <w:r w:rsidR="002D600D" w:rsidRPr="00257ACB">
        <w:rPr>
          <w:rFonts w:ascii="Times New Roman" w:eastAsia="바탕" w:hAnsi="Times New Roman" w:cs="Times New Roman"/>
          <w:sz w:val="26"/>
          <w:szCs w:val="26"/>
        </w:rPr>
        <w:t>T</w:t>
      </w:r>
      <w:r w:rsidR="00A25457" w:rsidRPr="00257ACB">
        <w:rPr>
          <w:rFonts w:ascii="Times New Roman" w:eastAsia="바탕" w:hAnsi="Times New Roman" w:cs="Times New Roman"/>
          <w:sz w:val="26"/>
          <w:szCs w:val="26"/>
        </w:rPr>
        <w:t xml:space="preserve">he regulatory response to those abuses and malpractices </w:t>
      </w:r>
      <w:r w:rsidR="002D600D" w:rsidRPr="00257ACB">
        <w:rPr>
          <w:rFonts w:ascii="Times New Roman" w:eastAsia="바탕" w:hAnsi="Times New Roman" w:cs="Times New Roman"/>
          <w:sz w:val="26"/>
          <w:szCs w:val="26"/>
        </w:rPr>
        <w:t xml:space="preserve">could be thought </w:t>
      </w:r>
      <w:r w:rsidR="00A25457" w:rsidRPr="00257ACB">
        <w:rPr>
          <w:rFonts w:ascii="Times New Roman" w:eastAsia="바탕" w:hAnsi="Times New Roman" w:cs="Times New Roman"/>
          <w:sz w:val="26"/>
          <w:szCs w:val="26"/>
        </w:rPr>
        <w:t xml:space="preserve">as a matter of adaptation to a </w:t>
      </w:r>
      <w:proofErr w:type="gramStart"/>
      <w:r w:rsidR="00A25457" w:rsidRPr="00257ACB">
        <w:rPr>
          <w:rFonts w:ascii="Times New Roman" w:eastAsia="바탕" w:hAnsi="Times New Roman" w:cs="Times New Roman"/>
          <w:sz w:val="26"/>
          <w:szCs w:val="26"/>
        </w:rPr>
        <w:t>particular kind</w:t>
      </w:r>
      <w:proofErr w:type="gramEnd"/>
      <w:r w:rsidR="00A25457" w:rsidRPr="00257ACB">
        <w:rPr>
          <w:rFonts w:ascii="Times New Roman" w:eastAsia="바탕" w:hAnsi="Times New Roman" w:cs="Times New Roman"/>
          <w:sz w:val="26"/>
          <w:szCs w:val="26"/>
        </w:rPr>
        <w:t xml:space="preserve"> of non-standard employment, namely that of employment by intermediaries or subcontractors in</w:t>
      </w:r>
      <w:r w:rsidR="002D600D" w:rsidRPr="00257ACB">
        <w:rPr>
          <w:rFonts w:ascii="Times New Roman" w:eastAsia="바탕" w:hAnsi="Times New Roman" w:cs="Times New Roman"/>
          <w:sz w:val="26"/>
          <w:szCs w:val="26"/>
        </w:rPr>
        <w:t xml:space="preserve"> </w:t>
      </w:r>
      <w:r w:rsidR="00A25457" w:rsidRPr="00257ACB">
        <w:rPr>
          <w:rFonts w:ascii="Times New Roman" w:eastAsia="바탕" w:hAnsi="Times New Roman" w:cs="Times New Roman"/>
          <w:sz w:val="26"/>
          <w:szCs w:val="26"/>
        </w:rPr>
        <w:t>this particular sector of the economy</w:t>
      </w:r>
      <w:r w:rsidR="002D600D" w:rsidRPr="00257ACB">
        <w:rPr>
          <w:rFonts w:ascii="Times New Roman" w:eastAsia="바탕" w:hAnsi="Times New Roman" w:cs="Times New Roman"/>
          <w:sz w:val="26"/>
          <w:szCs w:val="26"/>
        </w:rPr>
        <w:t xml:space="preserve">. Also this was a problem that had been exacerbated during the Major administration when the Deregulation and Contracting Out Act 1994 had abolished the previously existing system for the licensing of employment agencies, </w:t>
      </w:r>
      <w:r w:rsidR="00BE3675">
        <w:rPr>
          <w:rStyle w:val="ae"/>
          <w:rFonts w:ascii="Times New Roman" w:eastAsia="바탕" w:hAnsi="Times New Roman" w:cs="Times New Roman"/>
          <w:sz w:val="26"/>
          <w:szCs w:val="26"/>
        </w:rPr>
        <w:footnoteReference w:id="514"/>
      </w:r>
      <w:r w:rsidR="002D600D" w:rsidRPr="00257ACB">
        <w:rPr>
          <w:rFonts w:ascii="Times New Roman" w:eastAsia="바탕" w:hAnsi="Times New Roman" w:cs="Times New Roman"/>
          <w:sz w:val="26"/>
          <w:szCs w:val="26"/>
        </w:rPr>
        <w:t xml:space="preserve">which had been applicable at least to some forms of employment by </w:t>
      </w:r>
      <w:proofErr w:type="spellStart"/>
      <w:r w:rsidR="002D600D" w:rsidRPr="00257ACB">
        <w:rPr>
          <w:rFonts w:ascii="Times New Roman" w:eastAsia="바탕" w:hAnsi="Times New Roman" w:cs="Times New Roman"/>
          <w:sz w:val="26"/>
          <w:szCs w:val="26"/>
        </w:rPr>
        <w:t>gangmasters</w:t>
      </w:r>
      <w:proofErr w:type="spellEnd"/>
      <w:r w:rsidR="002D600D" w:rsidRPr="00257ACB">
        <w:rPr>
          <w:rFonts w:ascii="Times New Roman" w:eastAsia="바탕" w:hAnsi="Times New Roman" w:cs="Times New Roman"/>
          <w:sz w:val="26"/>
          <w:szCs w:val="26"/>
        </w:rPr>
        <w:t>.</w:t>
      </w:r>
      <w:r w:rsidR="00BE3675">
        <w:rPr>
          <w:rStyle w:val="ae"/>
          <w:rFonts w:ascii="Times New Roman" w:eastAsia="바탕" w:hAnsi="Times New Roman" w:cs="Times New Roman"/>
          <w:sz w:val="26"/>
          <w:szCs w:val="26"/>
        </w:rPr>
        <w:footnoteReference w:id="515"/>
      </w:r>
      <w:r w:rsidR="00F3340E" w:rsidRPr="00257ACB">
        <w:rPr>
          <w:rFonts w:ascii="Times New Roman" w:eastAsia="바탕" w:hAnsi="Times New Roman" w:cs="Times New Roman"/>
          <w:sz w:val="26"/>
          <w:szCs w:val="26"/>
        </w:rPr>
        <w:t xml:space="preserve"> </w:t>
      </w:r>
      <w:r w:rsidR="00797B00" w:rsidRPr="00257ACB">
        <w:rPr>
          <w:rFonts w:ascii="Times New Roman" w:eastAsia="바탕" w:hAnsi="Times New Roman" w:cs="Times New Roman"/>
          <w:sz w:val="26"/>
          <w:szCs w:val="26"/>
        </w:rPr>
        <w:t xml:space="preserve">The </w:t>
      </w:r>
      <w:proofErr w:type="spellStart"/>
      <w:r w:rsidR="00797B00" w:rsidRPr="00257ACB">
        <w:rPr>
          <w:rFonts w:ascii="Times New Roman" w:eastAsia="바탕" w:hAnsi="Times New Roman" w:cs="Times New Roman"/>
          <w:sz w:val="26"/>
          <w:szCs w:val="26"/>
        </w:rPr>
        <w:t>Gangmasters</w:t>
      </w:r>
      <w:proofErr w:type="spellEnd"/>
      <w:r w:rsidR="00797B00" w:rsidRPr="00257ACB">
        <w:rPr>
          <w:rFonts w:ascii="Times New Roman" w:eastAsia="바탕" w:hAnsi="Times New Roman" w:cs="Times New Roman"/>
          <w:sz w:val="26"/>
          <w:szCs w:val="26"/>
        </w:rPr>
        <w:t xml:space="preserve"> (Licensing) Act 2004 implemented a radical form of regulation</w:t>
      </w:r>
      <w:r w:rsidR="0086200D" w:rsidRPr="00257ACB">
        <w:rPr>
          <w:rFonts w:ascii="Times New Roman" w:eastAsia="바탕" w:hAnsi="Times New Roman" w:cs="Times New Roman"/>
          <w:sz w:val="26"/>
          <w:szCs w:val="26"/>
        </w:rPr>
        <w:t xml:space="preserve"> of the gravely abusive employment practices by creating an offence of entering into arrangements with unlicensed </w:t>
      </w:r>
      <w:proofErr w:type="spellStart"/>
      <w:r w:rsidR="0086200D" w:rsidRPr="00257ACB">
        <w:rPr>
          <w:rFonts w:ascii="Times New Roman" w:eastAsia="바탕" w:hAnsi="Times New Roman" w:cs="Times New Roman"/>
          <w:sz w:val="26"/>
          <w:szCs w:val="26"/>
        </w:rPr>
        <w:t>gangmasters</w:t>
      </w:r>
      <w:proofErr w:type="spellEnd"/>
      <w:r w:rsidR="0086200D" w:rsidRPr="00257ACB">
        <w:rPr>
          <w:rFonts w:ascii="Times New Roman" w:eastAsia="바탕" w:hAnsi="Times New Roman" w:cs="Times New Roman"/>
          <w:sz w:val="26"/>
          <w:szCs w:val="26"/>
        </w:rPr>
        <w:t xml:space="preserve"> as immediate employers or </w:t>
      </w:r>
      <w:proofErr w:type="spellStart"/>
      <w:r w:rsidR="0086200D" w:rsidRPr="00257ACB">
        <w:rPr>
          <w:rFonts w:ascii="Times New Roman" w:eastAsia="바탕" w:hAnsi="Times New Roman" w:cs="Times New Roman"/>
          <w:sz w:val="26"/>
          <w:szCs w:val="26"/>
        </w:rPr>
        <w:t>labour</w:t>
      </w:r>
      <w:proofErr w:type="spellEnd"/>
      <w:r w:rsidR="0086200D" w:rsidRPr="00257ACB">
        <w:rPr>
          <w:rFonts w:ascii="Times New Roman" w:eastAsia="바탕" w:hAnsi="Times New Roman" w:cs="Times New Roman"/>
          <w:sz w:val="26"/>
          <w:szCs w:val="26"/>
        </w:rPr>
        <w:t xml:space="preserve"> providers, upon enterprises such as major retailers further along the chain of </w:t>
      </w:r>
      <w:r w:rsidR="00BD0A9E" w:rsidRPr="00257ACB">
        <w:rPr>
          <w:rFonts w:ascii="Times New Roman" w:eastAsia="바탕" w:hAnsi="Times New Roman" w:cs="Times New Roman"/>
          <w:sz w:val="26"/>
          <w:szCs w:val="26"/>
        </w:rPr>
        <w:t xml:space="preserve">commerce in the products which were </w:t>
      </w:r>
      <w:r w:rsidR="003134C2" w:rsidRPr="00257ACB">
        <w:rPr>
          <w:rFonts w:ascii="Times New Roman" w:eastAsia="바탕" w:hAnsi="Times New Roman" w:cs="Times New Roman"/>
          <w:sz w:val="26"/>
          <w:szCs w:val="26"/>
        </w:rPr>
        <w:t>harvested</w:t>
      </w:r>
      <w:r w:rsidR="00BD0A9E" w:rsidRPr="00257ACB">
        <w:rPr>
          <w:rFonts w:ascii="Times New Roman" w:eastAsia="바탕" w:hAnsi="Times New Roman" w:cs="Times New Roman"/>
          <w:sz w:val="26"/>
          <w:szCs w:val="26"/>
        </w:rPr>
        <w:t xml:space="preserve"> by means of this system of employment.</w:t>
      </w:r>
      <w:r w:rsidR="00D33EE4" w:rsidRPr="00257ACB">
        <w:rPr>
          <w:rFonts w:ascii="Times New Roman" w:eastAsia="바탕" w:hAnsi="Times New Roman" w:cs="Times New Roman"/>
          <w:sz w:val="26"/>
          <w:szCs w:val="26"/>
        </w:rPr>
        <w:t xml:space="preserve"> </w:t>
      </w:r>
      <w:r w:rsidR="00BE3675">
        <w:rPr>
          <w:rStyle w:val="ae"/>
          <w:rFonts w:ascii="Times New Roman" w:eastAsia="바탕" w:hAnsi="Times New Roman" w:cs="Times New Roman"/>
          <w:sz w:val="26"/>
          <w:szCs w:val="26"/>
        </w:rPr>
        <w:footnoteReference w:id="516"/>
      </w:r>
      <w:r w:rsidR="008C278E" w:rsidRPr="00257ACB">
        <w:rPr>
          <w:rFonts w:ascii="Times New Roman" w:eastAsia="바탕" w:hAnsi="Times New Roman" w:cs="Times New Roman"/>
          <w:sz w:val="26"/>
          <w:szCs w:val="26"/>
        </w:rPr>
        <w:t xml:space="preserve">The Act </w:t>
      </w:r>
      <w:r w:rsidR="000E02E4" w:rsidRPr="00257ACB">
        <w:rPr>
          <w:rFonts w:ascii="Times New Roman" w:eastAsia="바탕" w:hAnsi="Times New Roman" w:cs="Times New Roman"/>
          <w:sz w:val="26"/>
          <w:szCs w:val="26"/>
        </w:rPr>
        <w:t>provided outline enabling legislation rather than that of an actual executive measure by including so much delegation of its implementation to ministerial regulations.</w:t>
      </w:r>
      <w:r w:rsidR="00BE3675">
        <w:rPr>
          <w:rStyle w:val="ae"/>
          <w:rFonts w:ascii="Times New Roman" w:eastAsia="바탕" w:hAnsi="Times New Roman" w:cs="Times New Roman"/>
          <w:sz w:val="26"/>
          <w:szCs w:val="26"/>
        </w:rPr>
        <w:footnoteReference w:id="517"/>
      </w:r>
      <w:r w:rsidR="000E02E4" w:rsidRPr="00257ACB">
        <w:rPr>
          <w:rFonts w:ascii="Times New Roman" w:eastAsia="바탕" w:hAnsi="Times New Roman" w:cs="Times New Roman"/>
          <w:sz w:val="26"/>
          <w:szCs w:val="26"/>
        </w:rPr>
        <w:t xml:space="preserve"> The government has </w:t>
      </w:r>
      <w:r w:rsidR="005C6DFB" w:rsidRPr="00257ACB">
        <w:rPr>
          <w:rFonts w:ascii="Times New Roman" w:eastAsia="바탕" w:hAnsi="Times New Roman" w:cs="Times New Roman"/>
          <w:sz w:val="26"/>
          <w:szCs w:val="26"/>
        </w:rPr>
        <w:t>certainly seemed minded to use those delegated powers to alleviate the impact of this legislation, so much so as to engender a suspicion that they might ideally prefer to limit its impact to cockle-picking</w:t>
      </w:r>
      <w:r w:rsidR="00BD6AEB" w:rsidRPr="00257ACB">
        <w:rPr>
          <w:rFonts w:ascii="Times New Roman" w:eastAsia="바탕" w:hAnsi="Times New Roman" w:cs="Times New Roman"/>
          <w:sz w:val="26"/>
          <w:szCs w:val="26"/>
        </w:rPr>
        <w:t xml:space="preserve"> </w:t>
      </w:r>
      <w:r w:rsidR="005C6DFB" w:rsidRPr="00257ACB">
        <w:rPr>
          <w:rFonts w:ascii="Times New Roman" w:eastAsia="바탕" w:hAnsi="Times New Roman" w:cs="Times New Roman"/>
          <w:sz w:val="26"/>
          <w:szCs w:val="26"/>
        </w:rPr>
        <w:t xml:space="preserve">in the particular part of </w:t>
      </w:r>
      <w:proofErr w:type="spellStart"/>
      <w:r w:rsidR="005C6DFB" w:rsidRPr="00257ACB">
        <w:rPr>
          <w:rFonts w:ascii="Times New Roman" w:eastAsia="바탕" w:hAnsi="Times New Roman" w:cs="Times New Roman"/>
          <w:sz w:val="26"/>
          <w:szCs w:val="26"/>
        </w:rPr>
        <w:t>Morecambe</w:t>
      </w:r>
      <w:proofErr w:type="spellEnd"/>
      <w:r w:rsidR="005C6DFB" w:rsidRPr="00257ACB">
        <w:rPr>
          <w:rFonts w:ascii="Times New Roman" w:eastAsia="바탕" w:hAnsi="Times New Roman" w:cs="Times New Roman"/>
          <w:sz w:val="26"/>
          <w:szCs w:val="26"/>
        </w:rPr>
        <w:t xml:space="preserve"> Bay where the terrible incident of February 2004 occurred.</w:t>
      </w:r>
      <w:r w:rsidR="00BE3675">
        <w:rPr>
          <w:rStyle w:val="ae"/>
          <w:rFonts w:ascii="Times New Roman" w:eastAsia="바탕" w:hAnsi="Times New Roman" w:cs="Times New Roman"/>
          <w:sz w:val="26"/>
          <w:szCs w:val="26"/>
        </w:rPr>
        <w:footnoteReference w:id="518"/>
      </w:r>
      <w:r w:rsidR="003134C2" w:rsidRPr="00257ACB">
        <w:rPr>
          <w:rFonts w:ascii="Times New Roman" w:eastAsia="바탕" w:hAnsi="Times New Roman" w:cs="Times New Roman"/>
          <w:sz w:val="26"/>
          <w:szCs w:val="26"/>
        </w:rPr>
        <w:t xml:space="preserve"> </w:t>
      </w:r>
      <w:r w:rsidR="00547E13" w:rsidRPr="00257ACB">
        <w:rPr>
          <w:rFonts w:ascii="Times New Roman" w:eastAsia="바탕" w:hAnsi="Times New Roman" w:cs="Times New Roman"/>
          <w:sz w:val="26"/>
          <w:szCs w:val="26"/>
        </w:rPr>
        <w:t>The implementation or non-implementation of this legislation was delegated not to the Department of Trade and Industry, but rather to the Department for Environment Food and Rural Affairs (DEFRA)</w:t>
      </w:r>
      <w:r w:rsidR="0007688B" w:rsidRPr="00257ACB">
        <w:rPr>
          <w:rFonts w:ascii="Times New Roman" w:eastAsia="바탕" w:hAnsi="Times New Roman" w:cs="Times New Roman"/>
          <w:sz w:val="26"/>
          <w:szCs w:val="26"/>
        </w:rPr>
        <w:t xml:space="preserve"> </w:t>
      </w:r>
      <w:r w:rsidR="00547E13" w:rsidRPr="00257ACB">
        <w:rPr>
          <w:rFonts w:ascii="Times New Roman" w:eastAsia="바탕" w:hAnsi="Times New Roman" w:cs="Times New Roman"/>
          <w:sz w:val="26"/>
          <w:szCs w:val="26"/>
        </w:rPr>
        <w:t xml:space="preserve">so as to </w:t>
      </w:r>
      <w:r w:rsidR="00071F5C" w:rsidRPr="00257ACB">
        <w:rPr>
          <w:rFonts w:ascii="Times New Roman" w:eastAsia="바탕" w:hAnsi="Times New Roman" w:cs="Times New Roman"/>
          <w:sz w:val="26"/>
          <w:szCs w:val="26"/>
        </w:rPr>
        <w:t>mark out its intention of rigid confinement to the sphere of agricultural harvesting and shellfish gathering.</w:t>
      </w:r>
      <w:r w:rsidR="00BE3675">
        <w:rPr>
          <w:rStyle w:val="ae"/>
          <w:rFonts w:ascii="Times New Roman" w:eastAsia="바탕" w:hAnsi="Times New Roman" w:cs="Times New Roman"/>
          <w:sz w:val="26"/>
          <w:szCs w:val="26"/>
        </w:rPr>
        <w:footnoteReference w:id="519"/>
      </w:r>
      <w:r w:rsidR="0007688B" w:rsidRPr="00257ACB">
        <w:rPr>
          <w:rFonts w:ascii="Times New Roman" w:eastAsia="바탕" w:hAnsi="Times New Roman" w:cs="Times New Roman"/>
          <w:sz w:val="26"/>
          <w:szCs w:val="26"/>
        </w:rPr>
        <w:t xml:space="preserve"> </w:t>
      </w:r>
      <w:r w:rsidR="004C59AD" w:rsidRPr="00257ACB">
        <w:rPr>
          <w:rFonts w:ascii="Times New Roman" w:eastAsia="바탕" w:hAnsi="Times New Roman" w:cs="Times New Roman"/>
          <w:sz w:val="26"/>
          <w:szCs w:val="26"/>
        </w:rPr>
        <w:t xml:space="preserve">The system of </w:t>
      </w:r>
      <w:r w:rsidR="004C59AD" w:rsidRPr="00257ACB">
        <w:rPr>
          <w:rFonts w:ascii="Times New Roman" w:eastAsia="바탕" w:hAnsi="Times New Roman" w:cs="Times New Roman"/>
          <w:sz w:val="26"/>
          <w:szCs w:val="26"/>
        </w:rPr>
        <w:lastRenderedPageBreak/>
        <w:t xml:space="preserve">criminal sanctions against unlicensed operation by </w:t>
      </w:r>
      <w:proofErr w:type="spellStart"/>
      <w:r w:rsidR="004C59AD" w:rsidRPr="00257ACB">
        <w:rPr>
          <w:rFonts w:ascii="Times New Roman" w:eastAsia="바탕" w:hAnsi="Times New Roman" w:cs="Times New Roman"/>
          <w:sz w:val="26"/>
          <w:szCs w:val="26"/>
        </w:rPr>
        <w:t>gangmaster</w:t>
      </w:r>
      <w:r w:rsidR="00B63ECF" w:rsidRPr="00257ACB">
        <w:rPr>
          <w:rFonts w:ascii="Times New Roman" w:eastAsia="바탕" w:hAnsi="Times New Roman" w:cs="Times New Roman"/>
          <w:sz w:val="26"/>
          <w:szCs w:val="26"/>
        </w:rPr>
        <w:t>s</w:t>
      </w:r>
      <w:proofErr w:type="spellEnd"/>
      <w:r w:rsidR="00B63ECF" w:rsidRPr="00257ACB">
        <w:rPr>
          <w:rFonts w:ascii="Times New Roman" w:eastAsia="바탕" w:hAnsi="Times New Roman" w:cs="Times New Roman"/>
          <w:sz w:val="26"/>
          <w:szCs w:val="26"/>
        </w:rPr>
        <w:t xml:space="preserve"> came </w:t>
      </w:r>
      <w:r w:rsidR="004C59AD" w:rsidRPr="00257ACB">
        <w:rPr>
          <w:rFonts w:ascii="Times New Roman" w:eastAsia="바탕" w:hAnsi="Times New Roman" w:cs="Times New Roman"/>
          <w:sz w:val="26"/>
          <w:szCs w:val="26"/>
        </w:rPr>
        <w:t xml:space="preserve">into effect </w:t>
      </w:r>
      <w:r w:rsidR="00B63ECF" w:rsidRPr="00257ACB">
        <w:rPr>
          <w:rFonts w:ascii="Times New Roman" w:eastAsia="바탕" w:hAnsi="Times New Roman" w:cs="Times New Roman"/>
          <w:sz w:val="26"/>
          <w:szCs w:val="26"/>
        </w:rPr>
        <w:t>at last</w:t>
      </w:r>
      <w:r w:rsidR="004C59AD" w:rsidRPr="00257ACB">
        <w:rPr>
          <w:rFonts w:ascii="Times New Roman" w:eastAsia="바탕" w:hAnsi="Times New Roman" w:cs="Times New Roman"/>
          <w:sz w:val="26"/>
          <w:szCs w:val="26"/>
        </w:rPr>
        <w:t xml:space="preserve"> after the end of the second term in government of the New </w:t>
      </w:r>
      <w:proofErr w:type="spellStart"/>
      <w:r w:rsidR="004C59AD" w:rsidRPr="00257ACB">
        <w:rPr>
          <w:rFonts w:ascii="Times New Roman" w:eastAsia="바탕" w:hAnsi="Times New Roman" w:cs="Times New Roman"/>
          <w:sz w:val="26"/>
          <w:szCs w:val="26"/>
        </w:rPr>
        <w:t>Labour</w:t>
      </w:r>
      <w:proofErr w:type="spellEnd"/>
      <w:r w:rsidR="004C59AD" w:rsidRPr="00257ACB">
        <w:rPr>
          <w:rFonts w:ascii="Times New Roman" w:eastAsia="바탕" w:hAnsi="Times New Roman" w:cs="Times New Roman"/>
          <w:sz w:val="26"/>
          <w:szCs w:val="26"/>
        </w:rPr>
        <w:t xml:space="preserve"> administration, and even then was to do so on a severely restricted basis, excluding in particular the employment of workers in any subsequent part of the process of food production or provision other than its original harvesting.</w:t>
      </w:r>
      <w:r w:rsidR="003B382A" w:rsidRPr="00257ACB">
        <w:rPr>
          <w:rFonts w:ascii="Times New Roman" w:eastAsia="바탕" w:hAnsi="Times New Roman" w:cs="Times New Roman"/>
          <w:sz w:val="26"/>
          <w:szCs w:val="26"/>
        </w:rPr>
        <w:t xml:space="preserve"> </w:t>
      </w:r>
      <w:r w:rsidR="005F74D7" w:rsidRPr="00257ACB">
        <w:rPr>
          <w:rFonts w:ascii="Times New Roman" w:eastAsia="바탕" w:hAnsi="Times New Roman" w:cs="Times New Roman"/>
          <w:sz w:val="26"/>
          <w:szCs w:val="26"/>
        </w:rPr>
        <w:t>To reduce any remaining fear caused by this heavy regulation,</w:t>
      </w:r>
      <w:r w:rsidR="00BE3675">
        <w:rPr>
          <w:rStyle w:val="ae"/>
          <w:rFonts w:ascii="Times New Roman" w:eastAsia="바탕" w:hAnsi="Times New Roman" w:cs="Times New Roman"/>
          <w:sz w:val="26"/>
          <w:szCs w:val="26"/>
        </w:rPr>
        <w:footnoteReference w:id="520"/>
      </w:r>
      <w:r w:rsidR="005F74D7" w:rsidRPr="00257ACB">
        <w:rPr>
          <w:rFonts w:ascii="Times New Roman" w:eastAsia="바탕" w:hAnsi="Times New Roman" w:cs="Times New Roman"/>
          <w:sz w:val="26"/>
          <w:szCs w:val="26"/>
        </w:rPr>
        <w:t xml:space="preserve"> the DEFRA Minister </w:t>
      </w:r>
      <w:proofErr w:type="spellStart"/>
      <w:r w:rsidR="005F74D7" w:rsidRPr="00257ACB">
        <w:rPr>
          <w:rFonts w:ascii="Times New Roman" w:eastAsia="바탕" w:hAnsi="Times New Roman" w:cs="Times New Roman"/>
          <w:sz w:val="26"/>
          <w:szCs w:val="26"/>
        </w:rPr>
        <w:t>Mr</w:t>
      </w:r>
      <w:proofErr w:type="spellEnd"/>
      <w:r w:rsidR="005F74D7" w:rsidRPr="00257ACB">
        <w:rPr>
          <w:rFonts w:ascii="Times New Roman" w:eastAsia="바탕" w:hAnsi="Times New Roman" w:cs="Times New Roman"/>
          <w:sz w:val="26"/>
          <w:szCs w:val="26"/>
        </w:rPr>
        <w:t xml:space="preserve"> Jim Knight announced in March 2006 to offer the reassurance that they are planning to review the system after one year to ensure it is working effectively and especially keen to manage it not to become an excessive burden for small businesses.</w:t>
      </w:r>
      <w:r w:rsidR="00BE3675">
        <w:rPr>
          <w:rStyle w:val="ae"/>
          <w:rFonts w:ascii="Times New Roman" w:eastAsia="바탕" w:hAnsi="Times New Roman" w:cs="Times New Roman"/>
          <w:sz w:val="26"/>
          <w:szCs w:val="26"/>
        </w:rPr>
        <w:footnoteReference w:id="521"/>
      </w:r>
      <w:r w:rsidR="00AF4538" w:rsidRPr="00257ACB">
        <w:rPr>
          <w:rFonts w:ascii="Times New Roman" w:eastAsia="바탕" w:hAnsi="Times New Roman" w:cs="Times New Roman"/>
          <w:sz w:val="26"/>
          <w:szCs w:val="26"/>
        </w:rPr>
        <w:t xml:space="preserve"> </w:t>
      </w:r>
    </w:p>
    <w:p w14:paraId="2E9E1969" w14:textId="7AC451F2" w:rsidR="004C59AD" w:rsidRPr="00257ACB" w:rsidRDefault="004C59AD" w:rsidP="00FB22F2">
      <w:pPr>
        <w:rPr>
          <w:rFonts w:ascii="Times New Roman" w:eastAsia="바탕" w:hAnsi="Times New Roman" w:cs="Times New Roman"/>
          <w:sz w:val="26"/>
          <w:szCs w:val="26"/>
        </w:rPr>
      </w:pPr>
    </w:p>
    <w:p w14:paraId="16BE2FCD" w14:textId="2405853E" w:rsidR="00937886" w:rsidRPr="00257ACB" w:rsidRDefault="00937886" w:rsidP="00937886">
      <w:pPr>
        <w:pStyle w:val="a3"/>
        <w:numPr>
          <w:ilvl w:val="0"/>
          <w:numId w:val="23"/>
        </w:numPr>
        <w:ind w:leftChars="0"/>
        <w:rPr>
          <w:rFonts w:ascii="Times New Roman" w:eastAsia="바탕" w:hAnsi="Times New Roman" w:cs="Times New Roman"/>
          <w:sz w:val="26"/>
          <w:szCs w:val="26"/>
        </w:rPr>
      </w:pPr>
      <w:r w:rsidRPr="00257ACB">
        <w:rPr>
          <w:rFonts w:ascii="Times New Roman" w:eastAsia="바탕" w:hAnsi="Times New Roman" w:cs="Times New Roman"/>
          <w:sz w:val="26"/>
          <w:szCs w:val="26"/>
        </w:rPr>
        <w:t>Recognition of human and equality rights in personal work relations</w:t>
      </w:r>
    </w:p>
    <w:p w14:paraId="02D568DA" w14:textId="5024380E" w:rsidR="00937886" w:rsidRPr="00257ACB" w:rsidRDefault="00937886" w:rsidP="00937886">
      <w:pPr>
        <w:pStyle w:val="a3"/>
        <w:ind w:leftChars="0" w:left="1880"/>
        <w:rPr>
          <w:rFonts w:ascii="Times New Roman" w:eastAsia="바탕" w:hAnsi="Times New Roman" w:cs="Times New Roman"/>
          <w:sz w:val="26"/>
          <w:szCs w:val="26"/>
        </w:rPr>
      </w:pPr>
    </w:p>
    <w:p w14:paraId="2B12E530" w14:textId="5A4DDC15" w:rsidR="004C59AD" w:rsidRPr="00257ACB" w:rsidRDefault="006D46C7" w:rsidP="00FB22F2">
      <w:pPr>
        <w:rPr>
          <w:rFonts w:ascii="Times New Roman" w:eastAsia="바탕" w:hAnsi="Times New Roman" w:cs="Times New Roman"/>
          <w:sz w:val="26"/>
          <w:szCs w:val="26"/>
        </w:rPr>
      </w:pPr>
      <w:r w:rsidRPr="00257ACB">
        <w:rPr>
          <w:rFonts w:ascii="Times New Roman" w:eastAsia="바탕" w:hAnsi="Times New Roman" w:cs="Times New Roman"/>
          <w:sz w:val="26"/>
          <w:szCs w:val="26"/>
        </w:rPr>
        <w:t>As for its immediate predecessors, many of the difficult choices confronting a government with that essentially ambivalent approach were necessitated by EU initiatives and developments in EU law.</w:t>
      </w:r>
      <w:r w:rsidR="00BE3675">
        <w:rPr>
          <w:rStyle w:val="ae"/>
          <w:rFonts w:ascii="Times New Roman" w:eastAsia="바탕" w:hAnsi="Times New Roman" w:cs="Times New Roman"/>
          <w:sz w:val="26"/>
          <w:szCs w:val="26"/>
        </w:rPr>
        <w:footnoteReference w:id="522"/>
      </w:r>
      <w:r w:rsidRPr="00257ACB">
        <w:rPr>
          <w:rFonts w:ascii="Times New Roman" w:eastAsia="바탕" w:hAnsi="Times New Roman" w:cs="Times New Roman"/>
          <w:sz w:val="26"/>
          <w:szCs w:val="26"/>
        </w:rPr>
        <w:t xml:space="preserve"> </w:t>
      </w:r>
      <w:r w:rsidR="00D43E78" w:rsidRPr="00257ACB">
        <w:rPr>
          <w:rFonts w:ascii="Times New Roman" w:eastAsia="바탕" w:hAnsi="Times New Roman" w:cs="Times New Roman"/>
          <w:sz w:val="26"/>
          <w:szCs w:val="26"/>
        </w:rPr>
        <w:t xml:space="preserve">In parallel with the enactment in 2000 of </w:t>
      </w:r>
      <w:r w:rsidR="00910752" w:rsidRPr="00257ACB">
        <w:rPr>
          <w:rFonts w:ascii="Times New Roman" w:eastAsia="바탕" w:hAnsi="Times New Roman" w:cs="Times New Roman"/>
          <w:sz w:val="26"/>
          <w:szCs w:val="26"/>
        </w:rPr>
        <w:t>the Race Directive</w:t>
      </w:r>
      <w:r w:rsidR="00BE3675">
        <w:rPr>
          <w:rStyle w:val="ae"/>
          <w:rFonts w:ascii="Times New Roman" w:eastAsia="바탕" w:hAnsi="Times New Roman" w:cs="Times New Roman"/>
          <w:sz w:val="26"/>
          <w:szCs w:val="26"/>
        </w:rPr>
        <w:footnoteReference w:id="523"/>
      </w:r>
      <w:r w:rsidR="00910752" w:rsidRPr="00257ACB">
        <w:rPr>
          <w:rFonts w:ascii="Times New Roman" w:eastAsia="바탕" w:hAnsi="Times New Roman" w:cs="Times New Roman"/>
          <w:sz w:val="26"/>
          <w:szCs w:val="26"/>
        </w:rPr>
        <w:t xml:space="preserve"> promoted in an enlarging Community,</w:t>
      </w:r>
      <w:r w:rsidR="00CA0F42" w:rsidRPr="00257ACB">
        <w:rPr>
          <w:rFonts w:ascii="Times New Roman" w:eastAsia="바탕" w:hAnsi="Times New Roman" w:cs="Times New Roman"/>
          <w:sz w:val="26"/>
          <w:szCs w:val="26"/>
        </w:rPr>
        <w:t xml:space="preserve"> also in response to the public exposure of the extent of the problem of institutional racism in the police service,</w:t>
      </w:r>
      <w:r w:rsidR="00BE3675">
        <w:rPr>
          <w:rStyle w:val="ae"/>
          <w:rFonts w:ascii="Times New Roman" w:eastAsia="바탕" w:hAnsi="Times New Roman" w:cs="Times New Roman"/>
          <w:sz w:val="26"/>
          <w:szCs w:val="26"/>
        </w:rPr>
        <w:footnoteReference w:id="524"/>
      </w:r>
      <w:r w:rsidR="00CA0F42" w:rsidRPr="00257ACB">
        <w:rPr>
          <w:rFonts w:ascii="Times New Roman" w:eastAsia="바탕" w:hAnsi="Times New Roman" w:cs="Times New Roman"/>
          <w:sz w:val="26"/>
          <w:szCs w:val="26"/>
        </w:rPr>
        <w:t xml:space="preserve"> the government had brought forward </w:t>
      </w:r>
      <w:r w:rsidR="00E7632A" w:rsidRPr="00257ACB">
        <w:rPr>
          <w:rFonts w:ascii="Times New Roman" w:eastAsia="바탕" w:hAnsi="Times New Roman" w:cs="Times New Roman"/>
          <w:sz w:val="26"/>
          <w:szCs w:val="26"/>
        </w:rPr>
        <w:t>the proposals for the legislation which issued forth in the Race Relations Amendment Act 2000, which extended the Race Relations Act 1976 to cover policing and immigration functions and the employment of police officers</w:t>
      </w:r>
      <w:r w:rsidR="00BE3675">
        <w:rPr>
          <w:rStyle w:val="ae"/>
          <w:rFonts w:ascii="Times New Roman" w:eastAsia="바탕" w:hAnsi="Times New Roman" w:cs="Times New Roman"/>
          <w:sz w:val="26"/>
          <w:szCs w:val="26"/>
        </w:rPr>
        <w:footnoteReference w:id="525"/>
      </w:r>
      <w:r w:rsidR="00E7632A" w:rsidRPr="00257ACB">
        <w:rPr>
          <w:rFonts w:ascii="Times New Roman" w:eastAsia="바탕" w:hAnsi="Times New Roman" w:cs="Times New Roman"/>
          <w:sz w:val="26"/>
          <w:szCs w:val="26"/>
        </w:rPr>
        <w:t xml:space="preserve">, </w:t>
      </w:r>
      <w:r w:rsidR="00BE3675">
        <w:rPr>
          <w:rStyle w:val="ae"/>
          <w:rFonts w:ascii="Times New Roman" w:eastAsia="바탕" w:hAnsi="Times New Roman" w:cs="Times New Roman"/>
          <w:sz w:val="26"/>
          <w:szCs w:val="26"/>
        </w:rPr>
        <w:footnoteReference w:id="526"/>
      </w:r>
      <w:r w:rsidR="00E7632A" w:rsidRPr="00257ACB">
        <w:rPr>
          <w:rFonts w:ascii="Times New Roman" w:eastAsia="바탕" w:hAnsi="Times New Roman" w:cs="Times New Roman"/>
          <w:sz w:val="26"/>
          <w:szCs w:val="26"/>
        </w:rPr>
        <w:t xml:space="preserve">and which imposed a set of legal duties on public authorities to work towards the elimination of unlawful discrimination and to promote equality </w:t>
      </w:r>
      <w:r w:rsidR="00E7632A" w:rsidRPr="00257ACB">
        <w:rPr>
          <w:rFonts w:ascii="Times New Roman" w:eastAsia="바탕" w:hAnsi="Times New Roman" w:cs="Times New Roman"/>
          <w:sz w:val="26"/>
          <w:szCs w:val="26"/>
        </w:rPr>
        <w:lastRenderedPageBreak/>
        <w:t>of opportunity and good relations between persons of different racial groups.</w:t>
      </w:r>
      <w:r w:rsidR="00BE3675">
        <w:rPr>
          <w:rStyle w:val="ae"/>
          <w:rFonts w:ascii="Times New Roman" w:eastAsia="바탕" w:hAnsi="Times New Roman" w:cs="Times New Roman"/>
          <w:sz w:val="26"/>
          <w:szCs w:val="26"/>
        </w:rPr>
        <w:footnoteReference w:id="527"/>
      </w:r>
      <w:r w:rsidR="00A46875" w:rsidRPr="00257ACB">
        <w:rPr>
          <w:rFonts w:ascii="Times New Roman" w:eastAsia="바탕" w:hAnsi="Times New Roman" w:cs="Times New Roman"/>
          <w:sz w:val="26"/>
          <w:szCs w:val="26"/>
        </w:rPr>
        <w:t xml:space="preserve"> In the latter respect, similar initiatives were later taken with regard to disability discrimination and to sex discrimination, eventually giving rise to parallel or similar provisions with respect to the former in the Disability Discrimination Act 2005</w:t>
      </w:r>
      <w:r w:rsidR="00BE3675">
        <w:rPr>
          <w:rStyle w:val="ae"/>
          <w:rFonts w:ascii="Times New Roman" w:eastAsia="바탕" w:hAnsi="Times New Roman" w:cs="Times New Roman"/>
          <w:sz w:val="26"/>
          <w:szCs w:val="26"/>
        </w:rPr>
        <w:footnoteReference w:id="528"/>
      </w:r>
      <w:r w:rsidR="00A46875" w:rsidRPr="00257ACB">
        <w:rPr>
          <w:rFonts w:ascii="Times New Roman" w:eastAsia="바탕" w:hAnsi="Times New Roman" w:cs="Times New Roman"/>
          <w:sz w:val="26"/>
          <w:szCs w:val="26"/>
        </w:rPr>
        <w:t>, and in the Equality Act 2006 with respect to the latter.</w:t>
      </w:r>
      <w:r w:rsidR="00BE3675">
        <w:rPr>
          <w:rStyle w:val="ae"/>
          <w:rFonts w:ascii="Times New Roman" w:eastAsia="바탕" w:hAnsi="Times New Roman" w:cs="Times New Roman"/>
          <w:sz w:val="26"/>
          <w:szCs w:val="26"/>
        </w:rPr>
        <w:footnoteReference w:id="529"/>
      </w:r>
      <w:r w:rsidR="00BF48AF" w:rsidRPr="00257ACB">
        <w:rPr>
          <w:rFonts w:ascii="Times New Roman" w:eastAsia="바탕" w:hAnsi="Times New Roman" w:cs="Times New Roman"/>
          <w:sz w:val="26"/>
          <w:szCs w:val="26"/>
        </w:rPr>
        <w:t xml:space="preserve"> </w:t>
      </w:r>
      <w:r w:rsidR="00807F0D" w:rsidRPr="00257ACB">
        <w:rPr>
          <w:rFonts w:ascii="Times New Roman" w:eastAsia="바탕" w:hAnsi="Times New Roman" w:cs="Times New Roman"/>
          <w:sz w:val="26"/>
          <w:szCs w:val="26"/>
        </w:rPr>
        <w:t xml:space="preserve">Even if the New </w:t>
      </w:r>
      <w:proofErr w:type="spellStart"/>
      <w:r w:rsidR="00807F0D" w:rsidRPr="00257ACB">
        <w:rPr>
          <w:rFonts w:ascii="Times New Roman" w:eastAsia="바탕" w:hAnsi="Times New Roman" w:cs="Times New Roman"/>
          <w:sz w:val="26"/>
          <w:szCs w:val="26"/>
        </w:rPr>
        <w:t>Labour</w:t>
      </w:r>
      <w:proofErr w:type="spellEnd"/>
      <w:r w:rsidR="00807F0D" w:rsidRPr="00257ACB">
        <w:rPr>
          <w:rFonts w:ascii="Times New Roman" w:eastAsia="바탕" w:hAnsi="Times New Roman" w:cs="Times New Roman"/>
          <w:sz w:val="26"/>
          <w:szCs w:val="26"/>
        </w:rPr>
        <w:t xml:space="preserve"> administration can be acknowledged to </w:t>
      </w:r>
      <w:r w:rsidR="00291739" w:rsidRPr="00257ACB">
        <w:rPr>
          <w:rFonts w:ascii="Times New Roman" w:eastAsia="바탕" w:hAnsi="Times New Roman" w:cs="Times New Roman"/>
          <w:sz w:val="26"/>
          <w:szCs w:val="26"/>
        </w:rPr>
        <w:t xml:space="preserve">have </w:t>
      </w:r>
      <w:r w:rsidR="00807F0D" w:rsidRPr="00257ACB">
        <w:rPr>
          <w:rFonts w:ascii="Times New Roman" w:eastAsia="바탕" w:hAnsi="Times New Roman" w:cs="Times New Roman"/>
          <w:sz w:val="26"/>
          <w:szCs w:val="26"/>
        </w:rPr>
        <w:t>made quite positive outcomes as illustrated above, it was evident that they felt deep misgivings at the prospect of the inclusion of a set of economic and social rights in addition to the less controversial list of civil and political rights, and at the possibility that this Charter might be enacted in a legally binding form.</w:t>
      </w:r>
      <w:r w:rsidR="00BE3675">
        <w:rPr>
          <w:rStyle w:val="ae"/>
          <w:rFonts w:ascii="Times New Roman" w:eastAsia="바탕" w:hAnsi="Times New Roman" w:cs="Times New Roman"/>
          <w:sz w:val="26"/>
          <w:szCs w:val="26"/>
        </w:rPr>
        <w:footnoteReference w:id="530"/>
      </w:r>
      <w:r w:rsidR="00606FAD" w:rsidRPr="00257ACB">
        <w:rPr>
          <w:rFonts w:ascii="Times New Roman" w:eastAsia="바탕" w:hAnsi="Times New Roman" w:cs="Times New Roman"/>
          <w:sz w:val="26"/>
          <w:szCs w:val="26"/>
        </w:rPr>
        <w:t xml:space="preserve"> The UK government did much during the discussion of the proposals to ensure that when the Charter was proclaimed by the Member States at the Nice European Council in December 2000,</w:t>
      </w:r>
      <w:r w:rsidR="006F750A">
        <w:rPr>
          <w:rStyle w:val="ae"/>
          <w:rFonts w:ascii="Times New Roman" w:eastAsia="바탕" w:hAnsi="Times New Roman" w:cs="Times New Roman"/>
          <w:sz w:val="26"/>
          <w:szCs w:val="26"/>
        </w:rPr>
        <w:footnoteReference w:id="531"/>
      </w:r>
      <w:r w:rsidR="00606FAD" w:rsidRPr="00257ACB">
        <w:rPr>
          <w:rFonts w:ascii="Times New Roman" w:eastAsia="바탕" w:hAnsi="Times New Roman" w:cs="Times New Roman"/>
          <w:sz w:val="26"/>
          <w:szCs w:val="26"/>
        </w:rPr>
        <w:t xml:space="preserve"> it took a form in which it was no legally binding and created no new rights for workers in any concrete sense.</w:t>
      </w:r>
      <w:r w:rsidR="006F750A">
        <w:rPr>
          <w:rStyle w:val="ae"/>
          <w:rFonts w:ascii="Times New Roman" w:eastAsia="바탕" w:hAnsi="Times New Roman" w:cs="Times New Roman"/>
          <w:sz w:val="26"/>
          <w:szCs w:val="26"/>
        </w:rPr>
        <w:footnoteReference w:id="532"/>
      </w:r>
      <w:r w:rsidR="001A0F22" w:rsidRPr="00257ACB">
        <w:rPr>
          <w:rFonts w:ascii="Times New Roman" w:eastAsia="바탕" w:hAnsi="Times New Roman" w:cs="Times New Roman"/>
          <w:sz w:val="26"/>
          <w:szCs w:val="26"/>
        </w:rPr>
        <w:t xml:space="preserve"> </w:t>
      </w:r>
      <w:r w:rsidR="00126D77" w:rsidRPr="00257ACB">
        <w:rPr>
          <w:rFonts w:ascii="Times New Roman" w:eastAsia="바탕" w:hAnsi="Times New Roman" w:cs="Times New Roman"/>
          <w:sz w:val="26"/>
          <w:szCs w:val="26"/>
        </w:rPr>
        <w:t xml:space="preserve">In addition, the UK government played a comparably cautious and at times negative role </w:t>
      </w:r>
      <w:r w:rsidR="00D95BA2" w:rsidRPr="00257ACB">
        <w:rPr>
          <w:rFonts w:ascii="Times New Roman" w:eastAsia="바탕" w:hAnsi="Times New Roman" w:cs="Times New Roman"/>
          <w:sz w:val="26"/>
          <w:szCs w:val="26"/>
        </w:rPr>
        <w:t>in the subsequent phase in which the Convention on the Future of Europe formulated proposals for the embodiment of the Charter in the new Treaty intended to become the Constitution of the European Union.</w:t>
      </w:r>
      <w:r w:rsidR="006F750A">
        <w:rPr>
          <w:rStyle w:val="ae"/>
          <w:rFonts w:ascii="Times New Roman" w:eastAsia="바탕" w:hAnsi="Times New Roman" w:cs="Times New Roman"/>
          <w:sz w:val="26"/>
          <w:szCs w:val="26"/>
        </w:rPr>
        <w:footnoteReference w:id="533"/>
      </w:r>
      <w:r w:rsidR="001974A0" w:rsidRPr="00257ACB">
        <w:rPr>
          <w:rFonts w:ascii="Times New Roman" w:eastAsia="바탕" w:hAnsi="Times New Roman" w:cs="Times New Roman"/>
          <w:sz w:val="26"/>
          <w:szCs w:val="26"/>
        </w:rPr>
        <w:t xml:space="preserve"> </w:t>
      </w:r>
      <w:r w:rsidR="002B7F9B" w:rsidRPr="00257ACB">
        <w:rPr>
          <w:rFonts w:ascii="Times New Roman" w:eastAsia="바탕" w:hAnsi="Times New Roman" w:cs="Times New Roman"/>
          <w:sz w:val="26"/>
          <w:szCs w:val="26"/>
        </w:rPr>
        <w:t>It can be mentioned that t</w:t>
      </w:r>
      <w:r w:rsidR="001974A0" w:rsidRPr="00257ACB">
        <w:rPr>
          <w:rFonts w:ascii="Times New Roman" w:eastAsia="바탕" w:hAnsi="Times New Roman" w:cs="Times New Roman"/>
          <w:sz w:val="26"/>
          <w:szCs w:val="26"/>
        </w:rPr>
        <w:t xml:space="preserve">he second New </w:t>
      </w:r>
      <w:proofErr w:type="spellStart"/>
      <w:r w:rsidR="001974A0" w:rsidRPr="00257ACB">
        <w:rPr>
          <w:rFonts w:ascii="Times New Roman" w:eastAsia="바탕" w:hAnsi="Times New Roman" w:cs="Times New Roman"/>
          <w:sz w:val="26"/>
          <w:szCs w:val="26"/>
        </w:rPr>
        <w:t>Labour</w:t>
      </w:r>
      <w:proofErr w:type="spellEnd"/>
      <w:r w:rsidR="001974A0" w:rsidRPr="00257ACB">
        <w:rPr>
          <w:rFonts w:ascii="Times New Roman" w:eastAsia="바탕" w:hAnsi="Times New Roman" w:cs="Times New Roman"/>
          <w:sz w:val="26"/>
          <w:szCs w:val="26"/>
        </w:rPr>
        <w:t xml:space="preserve"> government </w:t>
      </w:r>
      <w:r w:rsidR="004B137F" w:rsidRPr="00257ACB">
        <w:rPr>
          <w:rFonts w:ascii="Times New Roman" w:eastAsia="바탕" w:hAnsi="Times New Roman" w:cs="Times New Roman"/>
          <w:sz w:val="26"/>
          <w:szCs w:val="26"/>
        </w:rPr>
        <w:t>showed a comparable contrast between the responses to different aspects of the so-called Employment Framework Directive of 2000</w:t>
      </w:r>
      <w:r w:rsidR="006F750A">
        <w:rPr>
          <w:rStyle w:val="ae"/>
          <w:rFonts w:ascii="Times New Roman" w:eastAsia="바탕" w:hAnsi="Times New Roman" w:cs="Times New Roman"/>
          <w:sz w:val="26"/>
          <w:szCs w:val="26"/>
        </w:rPr>
        <w:footnoteReference w:id="534"/>
      </w:r>
      <w:r w:rsidR="004B137F" w:rsidRPr="00257ACB">
        <w:rPr>
          <w:rFonts w:ascii="Times New Roman" w:eastAsia="바탕" w:hAnsi="Times New Roman" w:cs="Times New Roman"/>
          <w:sz w:val="26"/>
          <w:szCs w:val="26"/>
        </w:rPr>
        <w:t xml:space="preserve">, </w:t>
      </w:r>
      <w:r w:rsidR="004B137F" w:rsidRPr="00257ACB">
        <w:rPr>
          <w:rFonts w:ascii="Times New Roman" w:eastAsia="바탕" w:hAnsi="Times New Roman" w:cs="Times New Roman"/>
          <w:sz w:val="26"/>
          <w:szCs w:val="26"/>
        </w:rPr>
        <w:lastRenderedPageBreak/>
        <w:t>which complemented the inclusionary initiative taken by the Race Directive of the same year by providing a framework for extending employment discrimination law to a set of grounds not previously addressed by EU law, those of disability, religion or belief, sexual orientation, and age.</w:t>
      </w:r>
      <w:r w:rsidR="006F750A">
        <w:rPr>
          <w:rStyle w:val="ae"/>
          <w:rFonts w:ascii="Times New Roman" w:eastAsia="바탕" w:hAnsi="Times New Roman" w:cs="Times New Roman"/>
          <w:sz w:val="26"/>
          <w:szCs w:val="26"/>
        </w:rPr>
        <w:footnoteReference w:id="535"/>
      </w:r>
      <w:r w:rsidR="004B137F" w:rsidRPr="00257ACB">
        <w:rPr>
          <w:rFonts w:ascii="Times New Roman" w:eastAsia="바탕" w:hAnsi="Times New Roman" w:cs="Times New Roman"/>
          <w:sz w:val="26"/>
          <w:szCs w:val="26"/>
        </w:rPr>
        <w:t xml:space="preserve"> </w:t>
      </w:r>
      <w:r w:rsidR="00E801C3" w:rsidRPr="00257ACB">
        <w:rPr>
          <w:rFonts w:ascii="Times New Roman" w:eastAsia="바탕" w:hAnsi="Times New Roman" w:cs="Times New Roman"/>
          <w:sz w:val="26"/>
          <w:szCs w:val="26"/>
        </w:rPr>
        <w:t xml:space="preserve">So far as </w:t>
      </w:r>
      <w:r w:rsidR="00C53FEA" w:rsidRPr="00257ACB">
        <w:rPr>
          <w:rFonts w:ascii="Times New Roman" w:eastAsia="바탕" w:hAnsi="Times New Roman" w:cs="Times New Roman"/>
          <w:sz w:val="26"/>
          <w:szCs w:val="26"/>
        </w:rPr>
        <w:t>disability discrimination was concerned, the UK was in substantially compliance with the Directives b</w:t>
      </w:r>
      <w:r w:rsidR="00491FED" w:rsidRPr="00257ACB">
        <w:rPr>
          <w:rFonts w:ascii="Times New Roman" w:eastAsia="바탕" w:hAnsi="Times New Roman" w:cs="Times New Roman"/>
          <w:sz w:val="26"/>
          <w:szCs w:val="26"/>
        </w:rPr>
        <w:t xml:space="preserve">y implementing </w:t>
      </w:r>
      <w:r w:rsidR="00C53FEA" w:rsidRPr="00257ACB">
        <w:rPr>
          <w:rFonts w:ascii="Times New Roman" w:eastAsia="바탕" w:hAnsi="Times New Roman" w:cs="Times New Roman"/>
          <w:sz w:val="26"/>
          <w:szCs w:val="26"/>
        </w:rPr>
        <w:t>the Disability Discrimination Act 1995.</w:t>
      </w:r>
      <w:r w:rsidR="006F750A">
        <w:rPr>
          <w:rStyle w:val="ae"/>
          <w:rFonts w:ascii="Times New Roman" w:eastAsia="바탕" w:hAnsi="Times New Roman" w:cs="Times New Roman"/>
          <w:sz w:val="26"/>
          <w:szCs w:val="26"/>
        </w:rPr>
        <w:footnoteReference w:id="536"/>
      </w:r>
      <w:r w:rsidR="00C53FEA" w:rsidRPr="00257ACB">
        <w:rPr>
          <w:rFonts w:ascii="Times New Roman" w:eastAsia="바탕" w:hAnsi="Times New Roman" w:cs="Times New Roman"/>
          <w:sz w:val="26"/>
          <w:szCs w:val="26"/>
        </w:rPr>
        <w:t xml:space="preserve"> </w:t>
      </w:r>
      <w:r w:rsidR="00491FED" w:rsidRPr="00257ACB">
        <w:rPr>
          <w:rFonts w:ascii="Times New Roman" w:eastAsia="바탕" w:hAnsi="Times New Roman" w:cs="Times New Roman"/>
          <w:sz w:val="26"/>
          <w:szCs w:val="26"/>
        </w:rPr>
        <w:t>On the other hand, t</w:t>
      </w:r>
      <w:r w:rsidR="00E801C3" w:rsidRPr="00257ACB">
        <w:rPr>
          <w:rFonts w:ascii="Times New Roman" w:eastAsia="바탕" w:hAnsi="Times New Roman" w:cs="Times New Roman"/>
          <w:sz w:val="26"/>
          <w:szCs w:val="26"/>
        </w:rPr>
        <w:t xml:space="preserve">he contrast in the UK government’s approach </w:t>
      </w:r>
      <w:r w:rsidR="006B2319" w:rsidRPr="00257ACB">
        <w:rPr>
          <w:rFonts w:ascii="Times New Roman" w:eastAsia="바탕" w:hAnsi="Times New Roman" w:cs="Times New Roman"/>
          <w:sz w:val="26"/>
          <w:szCs w:val="26"/>
        </w:rPr>
        <w:t>is shown</w:t>
      </w:r>
      <w:r w:rsidR="00E801C3" w:rsidRPr="00257ACB">
        <w:rPr>
          <w:rFonts w:ascii="Times New Roman" w:eastAsia="바탕" w:hAnsi="Times New Roman" w:cs="Times New Roman"/>
          <w:sz w:val="26"/>
          <w:szCs w:val="26"/>
        </w:rPr>
        <w:t xml:space="preserve"> between religion or belief and sexual orientation on the one hand, and age discrimination on the other. </w:t>
      </w:r>
      <w:r w:rsidR="00D200C5" w:rsidRPr="00257ACB">
        <w:rPr>
          <w:rFonts w:ascii="Times New Roman" w:eastAsia="바탕" w:hAnsi="Times New Roman" w:cs="Times New Roman"/>
          <w:sz w:val="26"/>
          <w:szCs w:val="26"/>
        </w:rPr>
        <w:t xml:space="preserve">While with regard to the former, the government were content to enact what is </w:t>
      </w:r>
      <w:r w:rsidR="00DA16F5" w:rsidRPr="00257ACB">
        <w:rPr>
          <w:rFonts w:ascii="Times New Roman" w:eastAsia="바탕" w:hAnsi="Times New Roman" w:cs="Times New Roman"/>
          <w:sz w:val="26"/>
          <w:szCs w:val="26"/>
        </w:rPr>
        <w:t>thought</w:t>
      </w:r>
      <w:r w:rsidR="00D200C5" w:rsidRPr="00257ACB">
        <w:rPr>
          <w:rFonts w:ascii="Times New Roman" w:eastAsia="바탕" w:hAnsi="Times New Roman" w:cs="Times New Roman"/>
          <w:sz w:val="26"/>
          <w:szCs w:val="26"/>
        </w:rPr>
        <w:t xml:space="preserve"> as a reasonably </w:t>
      </w:r>
      <w:r w:rsidR="00DA16F5" w:rsidRPr="00257ACB">
        <w:rPr>
          <w:rFonts w:ascii="Times New Roman" w:eastAsia="바탕" w:hAnsi="Times New Roman" w:cs="Times New Roman"/>
          <w:sz w:val="26"/>
          <w:szCs w:val="26"/>
        </w:rPr>
        <w:t>complete</w:t>
      </w:r>
      <w:r w:rsidR="00D200C5" w:rsidRPr="00257ACB">
        <w:rPr>
          <w:rFonts w:ascii="Times New Roman" w:eastAsia="바탕" w:hAnsi="Times New Roman" w:cs="Times New Roman"/>
          <w:sz w:val="26"/>
          <w:szCs w:val="26"/>
        </w:rPr>
        <w:t xml:space="preserve"> set of implementing measures, </w:t>
      </w:r>
      <w:r w:rsidR="00DA16F5" w:rsidRPr="00257ACB">
        <w:rPr>
          <w:rFonts w:ascii="Times New Roman" w:eastAsia="바탕" w:hAnsi="Times New Roman" w:cs="Times New Roman"/>
          <w:sz w:val="26"/>
          <w:szCs w:val="26"/>
        </w:rPr>
        <w:t>the government was much less positive with regard to age discrimination.</w:t>
      </w:r>
      <w:r w:rsidR="006F750A">
        <w:rPr>
          <w:rStyle w:val="ae"/>
          <w:rFonts w:ascii="Times New Roman" w:eastAsia="바탕" w:hAnsi="Times New Roman" w:cs="Times New Roman"/>
          <w:sz w:val="26"/>
          <w:szCs w:val="26"/>
        </w:rPr>
        <w:footnoteReference w:id="537"/>
      </w:r>
      <w:r w:rsidR="004D72BC" w:rsidRPr="00257ACB">
        <w:rPr>
          <w:rFonts w:ascii="Times New Roman" w:eastAsia="바탕" w:hAnsi="Times New Roman" w:cs="Times New Roman"/>
          <w:sz w:val="26"/>
          <w:szCs w:val="26"/>
        </w:rPr>
        <w:t xml:space="preserve"> </w:t>
      </w:r>
      <w:r w:rsidR="00DB3E92" w:rsidRPr="00257ACB">
        <w:rPr>
          <w:rFonts w:ascii="Times New Roman" w:eastAsia="바탕" w:hAnsi="Times New Roman" w:cs="Times New Roman"/>
          <w:sz w:val="26"/>
          <w:szCs w:val="26"/>
        </w:rPr>
        <w:t>The Directive itself was framed in terms which recognized that this was going to be a rather difficult matter for the Member States so that they were allowed to request a deferment of the obligation to implement for up to three years, hence until October 2006,</w:t>
      </w:r>
      <w:r w:rsidR="006F750A">
        <w:rPr>
          <w:rStyle w:val="ae"/>
          <w:rFonts w:ascii="Times New Roman" w:eastAsia="바탕" w:hAnsi="Times New Roman" w:cs="Times New Roman"/>
          <w:sz w:val="26"/>
          <w:szCs w:val="26"/>
        </w:rPr>
        <w:footnoteReference w:id="538"/>
      </w:r>
      <w:r w:rsidR="00DB3E92" w:rsidRPr="00257ACB">
        <w:rPr>
          <w:rFonts w:ascii="Times New Roman" w:eastAsia="바탕" w:hAnsi="Times New Roman" w:cs="Times New Roman"/>
          <w:sz w:val="26"/>
          <w:szCs w:val="26"/>
        </w:rPr>
        <w:t xml:space="preserve"> and a broad substantive derogation enabled them to provide that ‘differences of treatment on grounds of age shall not constitute discrimination if, within the context of national law, they are justified by a legitimate aim, including legitimate</w:t>
      </w:r>
      <w:r w:rsidR="00935E2E" w:rsidRPr="00257ACB">
        <w:rPr>
          <w:rFonts w:ascii="Times New Roman" w:eastAsia="바탕" w:hAnsi="Times New Roman" w:cs="Times New Roman"/>
          <w:sz w:val="26"/>
          <w:szCs w:val="26"/>
        </w:rPr>
        <w:t xml:space="preserve"> employment policy, </w:t>
      </w:r>
      <w:proofErr w:type="spellStart"/>
      <w:r w:rsidR="00935E2E" w:rsidRPr="00257ACB">
        <w:rPr>
          <w:rFonts w:ascii="Times New Roman" w:eastAsia="바탕" w:hAnsi="Times New Roman" w:cs="Times New Roman"/>
          <w:sz w:val="26"/>
          <w:szCs w:val="26"/>
        </w:rPr>
        <w:t>labour</w:t>
      </w:r>
      <w:proofErr w:type="spellEnd"/>
      <w:r w:rsidR="00935E2E" w:rsidRPr="00257ACB">
        <w:rPr>
          <w:rFonts w:ascii="Times New Roman" w:eastAsia="바탕" w:hAnsi="Times New Roman" w:cs="Times New Roman"/>
          <w:sz w:val="26"/>
          <w:szCs w:val="26"/>
        </w:rPr>
        <w:t xml:space="preserve"> market and vocational training objectives, and if the means of achieving that aim are appropriate and necessary.’</w:t>
      </w:r>
      <w:r w:rsidR="006F750A">
        <w:rPr>
          <w:rStyle w:val="ae"/>
          <w:rFonts w:ascii="Times New Roman" w:eastAsia="바탕" w:hAnsi="Times New Roman" w:cs="Times New Roman"/>
          <w:sz w:val="26"/>
          <w:szCs w:val="26"/>
        </w:rPr>
        <w:footnoteReference w:id="539"/>
      </w:r>
      <w:r w:rsidR="00DB3E92" w:rsidRPr="00257ACB">
        <w:rPr>
          <w:rFonts w:ascii="Times New Roman" w:eastAsia="바탕" w:hAnsi="Times New Roman" w:cs="Times New Roman"/>
          <w:sz w:val="26"/>
          <w:szCs w:val="26"/>
        </w:rPr>
        <w:t xml:space="preserve"> </w:t>
      </w:r>
      <w:r w:rsidR="00165070" w:rsidRPr="00257ACB">
        <w:rPr>
          <w:rFonts w:ascii="Times New Roman" w:eastAsia="바탕" w:hAnsi="Times New Roman" w:cs="Times New Roman"/>
          <w:sz w:val="26"/>
          <w:szCs w:val="26"/>
        </w:rPr>
        <w:t xml:space="preserve">Further, it was provided that such differences might include the setting of age-related conditions for access to employment and vocational training for young people </w:t>
      </w:r>
      <w:r w:rsidR="00AB4E40" w:rsidRPr="00257ACB">
        <w:rPr>
          <w:rFonts w:ascii="Times New Roman" w:eastAsia="바탕" w:hAnsi="Times New Roman" w:cs="Times New Roman"/>
          <w:sz w:val="26"/>
          <w:szCs w:val="26"/>
        </w:rPr>
        <w:t>and older workers in order to promote their vocational integration, the fixing of minimum conditions of age, experience, or seniority, and the fixing of maximum ages of recruitment based on the training requirements of the post in question.</w:t>
      </w:r>
      <w:r w:rsidR="006F750A">
        <w:rPr>
          <w:rStyle w:val="ae"/>
          <w:rFonts w:ascii="Times New Roman" w:eastAsia="바탕" w:hAnsi="Times New Roman" w:cs="Times New Roman"/>
          <w:sz w:val="26"/>
          <w:szCs w:val="26"/>
        </w:rPr>
        <w:footnoteReference w:id="540"/>
      </w:r>
      <w:r w:rsidR="00AB4E40" w:rsidRPr="00257ACB">
        <w:rPr>
          <w:rFonts w:ascii="Times New Roman" w:eastAsia="바탕" w:hAnsi="Times New Roman" w:cs="Times New Roman"/>
          <w:sz w:val="26"/>
          <w:szCs w:val="26"/>
        </w:rPr>
        <w:t xml:space="preserve"> While many member states were content simply to replicate the terms of the Directive in their national legislation </w:t>
      </w:r>
      <w:r w:rsidR="00AB4E40" w:rsidRPr="00257ACB">
        <w:rPr>
          <w:rFonts w:ascii="Times New Roman" w:eastAsia="바탕" w:hAnsi="Times New Roman" w:cs="Times New Roman"/>
          <w:sz w:val="26"/>
          <w:szCs w:val="26"/>
        </w:rPr>
        <w:lastRenderedPageBreak/>
        <w:t>even with the risk that important issues would remain unresolved,</w:t>
      </w:r>
      <w:r w:rsidR="006F750A">
        <w:rPr>
          <w:rStyle w:val="ae"/>
          <w:rFonts w:ascii="Times New Roman" w:eastAsia="바탕" w:hAnsi="Times New Roman" w:cs="Times New Roman"/>
          <w:sz w:val="26"/>
          <w:szCs w:val="26"/>
        </w:rPr>
        <w:footnoteReference w:id="541"/>
      </w:r>
      <w:r w:rsidR="00AB4E40" w:rsidRPr="00257ACB">
        <w:rPr>
          <w:rFonts w:ascii="Times New Roman" w:eastAsia="바탕" w:hAnsi="Times New Roman" w:cs="Times New Roman"/>
          <w:sz w:val="26"/>
          <w:szCs w:val="26"/>
        </w:rPr>
        <w:t xml:space="preserve"> </w:t>
      </w:r>
      <w:r w:rsidR="00932A3C" w:rsidRPr="00257ACB">
        <w:rPr>
          <w:rFonts w:ascii="Times New Roman" w:eastAsia="바탕" w:hAnsi="Times New Roman" w:cs="Times New Roman"/>
          <w:sz w:val="26"/>
          <w:szCs w:val="26"/>
        </w:rPr>
        <w:t xml:space="preserve">the UK government was concerned to achieve a more </w:t>
      </w:r>
      <w:r w:rsidR="00011010" w:rsidRPr="00257ACB">
        <w:rPr>
          <w:rFonts w:ascii="Times New Roman" w:eastAsia="바탕" w:hAnsi="Times New Roman" w:cs="Times New Roman"/>
          <w:sz w:val="26"/>
          <w:szCs w:val="26"/>
        </w:rPr>
        <w:t>complete</w:t>
      </w:r>
      <w:r w:rsidR="00932A3C" w:rsidRPr="00257ACB">
        <w:rPr>
          <w:rFonts w:ascii="Times New Roman" w:eastAsia="바탕" w:hAnsi="Times New Roman" w:cs="Times New Roman"/>
          <w:sz w:val="26"/>
          <w:szCs w:val="26"/>
        </w:rPr>
        <w:t xml:space="preserve"> worked-out set of </w:t>
      </w:r>
      <w:r w:rsidR="003A5CEA" w:rsidRPr="00257ACB">
        <w:rPr>
          <w:rFonts w:ascii="Times New Roman" w:eastAsia="바탕" w:hAnsi="Times New Roman" w:cs="Times New Roman"/>
          <w:sz w:val="26"/>
          <w:szCs w:val="26"/>
        </w:rPr>
        <w:t>measures</w:t>
      </w:r>
      <w:r w:rsidR="00932A3C" w:rsidRPr="00257ACB">
        <w:rPr>
          <w:rFonts w:ascii="Times New Roman" w:eastAsia="바탕" w:hAnsi="Times New Roman" w:cs="Times New Roman"/>
          <w:sz w:val="26"/>
          <w:szCs w:val="26"/>
        </w:rPr>
        <w:t xml:space="preserve"> to avoid what </w:t>
      </w:r>
      <w:r w:rsidR="003A5CEA" w:rsidRPr="00257ACB">
        <w:rPr>
          <w:rFonts w:ascii="Times New Roman" w:eastAsia="바탕" w:hAnsi="Times New Roman" w:cs="Times New Roman"/>
          <w:sz w:val="26"/>
          <w:szCs w:val="26"/>
        </w:rPr>
        <w:t>could be caused</w:t>
      </w:r>
      <w:r w:rsidR="00932A3C" w:rsidRPr="00257ACB">
        <w:rPr>
          <w:rFonts w:ascii="Times New Roman" w:eastAsia="바탕" w:hAnsi="Times New Roman" w:cs="Times New Roman"/>
          <w:sz w:val="26"/>
          <w:szCs w:val="26"/>
        </w:rPr>
        <w:t xml:space="preserve"> as a serious threat to managerial adaptability</w:t>
      </w:r>
      <w:r w:rsidR="003A5CEA" w:rsidRPr="00257ACB">
        <w:rPr>
          <w:rFonts w:ascii="Times New Roman" w:eastAsia="바탕" w:hAnsi="Times New Roman" w:cs="Times New Roman"/>
          <w:sz w:val="26"/>
          <w:szCs w:val="26"/>
        </w:rPr>
        <w:t xml:space="preserve"> which it had pursued</w:t>
      </w:r>
      <w:r w:rsidR="00932A3C" w:rsidRPr="00257ACB">
        <w:rPr>
          <w:rFonts w:ascii="Times New Roman" w:eastAsia="바탕" w:hAnsi="Times New Roman" w:cs="Times New Roman"/>
          <w:sz w:val="26"/>
          <w:szCs w:val="26"/>
        </w:rPr>
        <w:t xml:space="preserve">. </w:t>
      </w:r>
      <w:r w:rsidR="003A5CEA" w:rsidRPr="00257ACB">
        <w:rPr>
          <w:rFonts w:ascii="Times New Roman" w:eastAsia="바탕" w:hAnsi="Times New Roman" w:cs="Times New Roman"/>
          <w:sz w:val="26"/>
          <w:szCs w:val="26"/>
        </w:rPr>
        <w:t>That is, i</w:t>
      </w:r>
      <w:r w:rsidR="00932A3C" w:rsidRPr="00257ACB">
        <w:rPr>
          <w:rFonts w:ascii="Times New Roman" w:eastAsia="바탕" w:hAnsi="Times New Roman" w:cs="Times New Roman"/>
          <w:sz w:val="26"/>
          <w:szCs w:val="26"/>
        </w:rPr>
        <w:t xml:space="preserve">t means that this threat to managerial adaptability was </w:t>
      </w:r>
      <w:r w:rsidR="003A5CEA" w:rsidRPr="00257ACB">
        <w:rPr>
          <w:rFonts w:ascii="Times New Roman" w:eastAsia="바탕" w:hAnsi="Times New Roman" w:cs="Times New Roman"/>
          <w:sz w:val="26"/>
          <w:szCs w:val="26"/>
        </w:rPr>
        <w:t xml:space="preserve">considered potentially </w:t>
      </w:r>
      <w:r w:rsidR="00932A3C" w:rsidRPr="00257ACB">
        <w:rPr>
          <w:rFonts w:ascii="Times New Roman" w:eastAsia="바탕" w:hAnsi="Times New Roman" w:cs="Times New Roman"/>
          <w:sz w:val="26"/>
          <w:szCs w:val="26"/>
        </w:rPr>
        <w:t xml:space="preserve">much more serious than any </w:t>
      </w:r>
      <w:r w:rsidR="003A5CEA" w:rsidRPr="00257ACB">
        <w:rPr>
          <w:rFonts w:ascii="Times New Roman" w:eastAsia="바탕" w:hAnsi="Times New Roman" w:cs="Times New Roman"/>
          <w:sz w:val="26"/>
          <w:szCs w:val="26"/>
        </w:rPr>
        <w:t xml:space="preserve">other causes </w:t>
      </w:r>
      <w:r w:rsidR="00932A3C" w:rsidRPr="00257ACB">
        <w:rPr>
          <w:rFonts w:ascii="Times New Roman" w:eastAsia="바탕" w:hAnsi="Times New Roman" w:cs="Times New Roman"/>
          <w:sz w:val="26"/>
          <w:szCs w:val="26"/>
        </w:rPr>
        <w:t>posed by the requirements to legislate against discrimination on the other grounds addressed by the Directive.</w:t>
      </w:r>
      <w:r w:rsidR="006F750A">
        <w:rPr>
          <w:rStyle w:val="ae"/>
          <w:rFonts w:ascii="Times New Roman" w:eastAsia="바탕" w:hAnsi="Times New Roman" w:cs="Times New Roman"/>
          <w:sz w:val="26"/>
          <w:szCs w:val="26"/>
        </w:rPr>
        <w:footnoteReference w:id="542"/>
      </w:r>
      <w:r w:rsidR="004F5FBF" w:rsidRPr="00257ACB">
        <w:rPr>
          <w:rFonts w:ascii="Times New Roman" w:eastAsia="바탕" w:hAnsi="Times New Roman" w:cs="Times New Roman"/>
          <w:sz w:val="26"/>
          <w:szCs w:val="26"/>
        </w:rPr>
        <w:t xml:space="preserve"> The most difficult issue was that of retirement age.</w:t>
      </w:r>
      <w:r w:rsidR="006F750A">
        <w:rPr>
          <w:rStyle w:val="ae"/>
          <w:rFonts w:ascii="Times New Roman" w:eastAsia="바탕" w:hAnsi="Times New Roman" w:cs="Times New Roman"/>
          <w:sz w:val="26"/>
          <w:szCs w:val="26"/>
        </w:rPr>
        <w:footnoteReference w:id="543"/>
      </w:r>
      <w:r w:rsidR="00DE4499" w:rsidRPr="00257ACB">
        <w:rPr>
          <w:rFonts w:ascii="Times New Roman" w:eastAsia="바탕" w:hAnsi="Times New Roman" w:cs="Times New Roman"/>
          <w:sz w:val="26"/>
          <w:szCs w:val="26"/>
        </w:rPr>
        <w:t xml:space="preserve"> </w:t>
      </w:r>
      <w:r w:rsidR="008F0B8C" w:rsidRPr="00257ACB">
        <w:rPr>
          <w:rFonts w:ascii="Times New Roman" w:eastAsia="바탕" w:hAnsi="Times New Roman" w:cs="Times New Roman"/>
          <w:sz w:val="26"/>
          <w:szCs w:val="26"/>
        </w:rPr>
        <w:t>At initial stage, t</w:t>
      </w:r>
      <w:r w:rsidR="00DE4499" w:rsidRPr="00257ACB">
        <w:rPr>
          <w:rFonts w:ascii="Times New Roman" w:eastAsia="바탕" w:hAnsi="Times New Roman" w:cs="Times New Roman"/>
          <w:sz w:val="26"/>
          <w:szCs w:val="26"/>
        </w:rPr>
        <w:t>he response t</w:t>
      </w:r>
      <w:r w:rsidR="002221A5" w:rsidRPr="00257ACB">
        <w:rPr>
          <w:rFonts w:ascii="Times New Roman" w:eastAsia="바탕" w:hAnsi="Times New Roman" w:cs="Times New Roman"/>
          <w:sz w:val="26"/>
          <w:szCs w:val="26"/>
        </w:rPr>
        <w:t>o the conflicting interests of government, business and workers was the imposition of a long</w:t>
      </w:r>
      <w:r w:rsidR="008F0B8C" w:rsidRPr="00257ACB">
        <w:rPr>
          <w:rFonts w:ascii="Times New Roman" w:eastAsia="바탕" w:hAnsi="Times New Roman" w:cs="Times New Roman"/>
          <w:sz w:val="26"/>
          <w:szCs w:val="26"/>
        </w:rPr>
        <w:t xml:space="preserve"> period of stasis, namely a </w:t>
      </w:r>
      <w:r w:rsidR="002221A5" w:rsidRPr="00257ACB">
        <w:rPr>
          <w:rFonts w:ascii="Times New Roman" w:eastAsia="바탕" w:hAnsi="Times New Roman" w:cs="Times New Roman"/>
          <w:sz w:val="26"/>
          <w:szCs w:val="26"/>
        </w:rPr>
        <w:t>process of consultation about proposed age equality legislation initiated in 2001,</w:t>
      </w:r>
      <w:r w:rsidR="006F750A">
        <w:rPr>
          <w:rStyle w:val="ae"/>
          <w:rFonts w:ascii="Times New Roman" w:eastAsia="바탕" w:hAnsi="Times New Roman" w:cs="Times New Roman"/>
          <w:sz w:val="26"/>
          <w:szCs w:val="26"/>
        </w:rPr>
        <w:footnoteReference w:id="544"/>
      </w:r>
      <w:r w:rsidR="002221A5" w:rsidRPr="00257ACB">
        <w:rPr>
          <w:rFonts w:ascii="Times New Roman" w:eastAsia="바탕" w:hAnsi="Times New Roman" w:cs="Times New Roman"/>
          <w:sz w:val="26"/>
          <w:szCs w:val="26"/>
        </w:rPr>
        <w:t>and ori</w:t>
      </w:r>
      <w:r w:rsidR="00C17602" w:rsidRPr="00257ACB">
        <w:rPr>
          <w:rFonts w:ascii="Times New Roman" w:eastAsia="바탕" w:hAnsi="Times New Roman" w:cs="Times New Roman"/>
          <w:sz w:val="26"/>
          <w:szCs w:val="26"/>
        </w:rPr>
        <w:t xml:space="preserve">ginally expected to </w:t>
      </w:r>
      <w:r w:rsidR="008F0B8C" w:rsidRPr="00257ACB">
        <w:rPr>
          <w:rFonts w:ascii="Times New Roman" w:eastAsia="바탕" w:hAnsi="Times New Roman" w:cs="Times New Roman"/>
          <w:sz w:val="26"/>
          <w:szCs w:val="26"/>
        </w:rPr>
        <w:t xml:space="preserve">be finalized in </w:t>
      </w:r>
      <w:r w:rsidR="00C17602" w:rsidRPr="00257ACB">
        <w:rPr>
          <w:rFonts w:ascii="Times New Roman" w:eastAsia="바탕" w:hAnsi="Times New Roman" w:cs="Times New Roman"/>
          <w:sz w:val="26"/>
          <w:szCs w:val="26"/>
        </w:rPr>
        <w:t xml:space="preserve">legislation in 2004, </w:t>
      </w:r>
      <w:r w:rsidR="008F0B8C" w:rsidRPr="00257ACB">
        <w:rPr>
          <w:rFonts w:ascii="Times New Roman" w:eastAsia="바탕" w:hAnsi="Times New Roman" w:cs="Times New Roman"/>
          <w:sz w:val="26"/>
          <w:szCs w:val="26"/>
        </w:rPr>
        <w:t xml:space="preserve">but </w:t>
      </w:r>
      <w:r w:rsidR="00C17602" w:rsidRPr="00257ACB">
        <w:rPr>
          <w:rFonts w:ascii="Times New Roman" w:eastAsia="바탕" w:hAnsi="Times New Roman" w:cs="Times New Roman"/>
          <w:sz w:val="26"/>
          <w:szCs w:val="26"/>
        </w:rPr>
        <w:t>it was not until April 2006 that the Employment Equality (Age) Regulations were finally made, to come into effect at the very last moment permissible under the Directive, in October 2006.</w:t>
      </w:r>
      <w:r w:rsidR="006F750A">
        <w:rPr>
          <w:rStyle w:val="ae"/>
          <w:rFonts w:ascii="Times New Roman" w:eastAsia="바탕" w:hAnsi="Times New Roman" w:cs="Times New Roman"/>
          <w:sz w:val="26"/>
          <w:szCs w:val="26"/>
        </w:rPr>
        <w:footnoteReference w:id="545"/>
      </w:r>
      <w:r w:rsidR="004E2930" w:rsidRPr="00257ACB">
        <w:rPr>
          <w:rFonts w:ascii="Times New Roman" w:eastAsia="바탕" w:hAnsi="Times New Roman" w:cs="Times New Roman"/>
          <w:sz w:val="26"/>
          <w:szCs w:val="26"/>
        </w:rPr>
        <w:t xml:space="preserve"> Throughout this long period of consultation, there was a legislative strategy produced </w:t>
      </w:r>
      <w:r w:rsidR="00351E5E" w:rsidRPr="00257ACB">
        <w:rPr>
          <w:rFonts w:ascii="Times New Roman" w:eastAsia="바탕" w:hAnsi="Times New Roman" w:cs="Times New Roman"/>
          <w:sz w:val="26"/>
          <w:szCs w:val="26"/>
        </w:rPr>
        <w:t>which as far as possible alleviated the regulation of the power of enterprise management to impose its chosen retirement age upon workers, while seeking to usher in a more than previously flexible approach to determining the time of retirement in individual cases.</w:t>
      </w:r>
      <w:r w:rsidR="006F750A">
        <w:rPr>
          <w:rStyle w:val="ae"/>
          <w:rFonts w:ascii="Times New Roman" w:eastAsia="바탕" w:hAnsi="Times New Roman" w:cs="Times New Roman"/>
          <w:sz w:val="26"/>
          <w:szCs w:val="26"/>
        </w:rPr>
        <w:footnoteReference w:id="546"/>
      </w:r>
      <w:r w:rsidR="00DC7EAB" w:rsidRPr="00257ACB">
        <w:rPr>
          <w:rFonts w:ascii="Times New Roman" w:eastAsia="바탕" w:hAnsi="Times New Roman" w:cs="Times New Roman"/>
          <w:sz w:val="26"/>
          <w:szCs w:val="26"/>
        </w:rPr>
        <w:t xml:space="preserve"> Thus, that strategy was implemented by means of a compete modification of the way in which the law of unfair dismissal was applied to the retirement of workers.</w:t>
      </w:r>
      <w:r w:rsidR="006F750A">
        <w:rPr>
          <w:rStyle w:val="ae"/>
          <w:rFonts w:ascii="Times New Roman" w:eastAsia="바탕" w:hAnsi="Times New Roman" w:cs="Times New Roman"/>
          <w:sz w:val="26"/>
          <w:szCs w:val="26"/>
        </w:rPr>
        <w:footnoteReference w:id="547"/>
      </w:r>
      <w:r w:rsidR="005E3459" w:rsidRPr="00257ACB">
        <w:rPr>
          <w:rFonts w:ascii="Times New Roman" w:eastAsia="바탕" w:hAnsi="Times New Roman" w:cs="Times New Roman"/>
          <w:sz w:val="26"/>
          <w:szCs w:val="26"/>
        </w:rPr>
        <w:t xml:space="preserve"> </w:t>
      </w:r>
      <w:r w:rsidR="00714E8A" w:rsidRPr="00257ACB">
        <w:rPr>
          <w:rFonts w:ascii="Times New Roman" w:eastAsia="바탕" w:hAnsi="Times New Roman" w:cs="Times New Roman"/>
          <w:sz w:val="26"/>
          <w:szCs w:val="26"/>
        </w:rPr>
        <w:t xml:space="preserve">This new </w:t>
      </w:r>
      <w:r w:rsidR="00714E8A" w:rsidRPr="00257ACB">
        <w:rPr>
          <w:rFonts w:ascii="Times New Roman" w:eastAsia="바탕" w:hAnsi="Times New Roman" w:cs="Times New Roman"/>
          <w:sz w:val="26"/>
          <w:szCs w:val="26"/>
        </w:rPr>
        <w:lastRenderedPageBreak/>
        <w:t>statutory regime for retirement stipulated two new conceptual and legislative devices, the first of which was the notion of a default retirement age of 65, and the second of which was the idea of a right to request working beyond retirement date. The significance of the default retirement age of 65 was that the imposition by an employer of a mandatory retirement age of less than 65 would require objective justification, whereas a requirement to retire at or over the age of 65 would not require such justification.</w:t>
      </w:r>
      <w:r w:rsidR="006F750A">
        <w:rPr>
          <w:rStyle w:val="ae"/>
          <w:rFonts w:ascii="Times New Roman" w:eastAsia="바탕" w:hAnsi="Times New Roman" w:cs="Times New Roman"/>
          <w:sz w:val="26"/>
          <w:szCs w:val="26"/>
        </w:rPr>
        <w:footnoteReference w:id="548"/>
      </w:r>
      <w:r w:rsidR="002B7481" w:rsidRPr="00257ACB">
        <w:rPr>
          <w:rFonts w:ascii="Times New Roman" w:eastAsia="바탕" w:hAnsi="Times New Roman" w:cs="Times New Roman"/>
          <w:sz w:val="26"/>
          <w:szCs w:val="26"/>
        </w:rPr>
        <w:t xml:space="preserve"> </w:t>
      </w:r>
      <w:r w:rsidR="00827D56" w:rsidRPr="00257ACB">
        <w:rPr>
          <w:rFonts w:ascii="Times New Roman" w:eastAsia="바탕" w:hAnsi="Times New Roman" w:cs="Times New Roman"/>
          <w:sz w:val="26"/>
          <w:szCs w:val="26"/>
        </w:rPr>
        <w:t>While safeguarding the power of the employing enterprise to maintain a retirement age of 65, the legislation goes on to provide employees with a countervailing right to request a continuation of their employment beyond their retirement date.</w:t>
      </w:r>
      <w:r w:rsidR="006F750A">
        <w:rPr>
          <w:rStyle w:val="ae"/>
          <w:rFonts w:ascii="Times New Roman" w:eastAsia="바탕" w:hAnsi="Times New Roman" w:cs="Times New Roman"/>
          <w:sz w:val="26"/>
          <w:szCs w:val="26"/>
        </w:rPr>
        <w:footnoteReference w:id="549"/>
      </w:r>
      <w:r w:rsidR="00B87FD7" w:rsidRPr="00257ACB">
        <w:rPr>
          <w:rFonts w:ascii="Times New Roman" w:eastAsia="바탕" w:hAnsi="Times New Roman" w:cs="Times New Roman"/>
          <w:sz w:val="26"/>
          <w:szCs w:val="26"/>
        </w:rPr>
        <w:t xml:space="preserve"> </w:t>
      </w:r>
      <w:r w:rsidR="00EE14BE" w:rsidRPr="00257ACB">
        <w:rPr>
          <w:rFonts w:ascii="Times New Roman" w:eastAsia="바탕" w:hAnsi="Times New Roman" w:cs="Times New Roman"/>
          <w:sz w:val="26"/>
          <w:szCs w:val="26"/>
        </w:rPr>
        <w:t>However, this is primarily a right to a process of requesting and having that request considered, rather than a right to the substance of that which is requested, and whereas in the case of the right to request flexible working it is stipulated that a refusal must demonstrably fall within a prescribed list of grounds,</w:t>
      </w:r>
      <w:r w:rsidR="006F750A">
        <w:rPr>
          <w:rStyle w:val="ae"/>
          <w:rFonts w:ascii="Times New Roman" w:eastAsia="바탕" w:hAnsi="Times New Roman" w:cs="Times New Roman"/>
          <w:sz w:val="26"/>
          <w:szCs w:val="26"/>
        </w:rPr>
        <w:footnoteReference w:id="550"/>
      </w:r>
      <w:r w:rsidR="00EE14BE" w:rsidRPr="00257ACB">
        <w:rPr>
          <w:rFonts w:ascii="Times New Roman" w:eastAsia="바탕" w:hAnsi="Times New Roman" w:cs="Times New Roman"/>
          <w:sz w:val="26"/>
          <w:szCs w:val="26"/>
        </w:rPr>
        <w:t xml:space="preserve"> there seems to be no such substantive restriction upon a refusal to accept the request to continue working after the employee’s retirement date.</w:t>
      </w:r>
      <w:r w:rsidR="006F750A">
        <w:rPr>
          <w:rStyle w:val="ae"/>
          <w:rFonts w:ascii="Times New Roman" w:eastAsia="바탕" w:hAnsi="Times New Roman" w:cs="Times New Roman"/>
          <w:sz w:val="26"/>
          <w:szCs w:val="26"/>
        </w:rPr>
        <w:footnoteReference w:id="551"/>
      </w:r>
      <w:r w:rsidR="00EE14BE" w:rsidRPr="00257ACB">
        <w:rPr>
          <w:rFonts w:ascii="Times New Roman" w:eastAsia="바탕" w:hAnsi="Times New Roman" w:cs="Times New Roman"/>
          <w:sz w:val="26"/>
          <w:szCs w:val="26"/>
        </w:rPr>
        <w:t xml:space="preserve"> </w:t>
      </w:r>
      <w:r w:rsidR="00D83F60" w:rsidRPr="00257ACB">
        <w:rPr>
          <w:rFonts w:ascii="Times New Roman" w:eastAsia="바탕" w:hAnsi="Times New Roman" w:cs="Times New Roman"/>
          <w:sz w:val="26"/>
          <w:szCs w:val="26"/>
        </w:rPr>
        <w:t xml:space="preserve"> In addition, </w:t>
      </w:r>
      <w:r w:rsidR="00EE14BE" w:rsidRPr="00257ACB">
        <w:rPr>
          <w:rFonts w:ascii="Times New Roman" w:eastAsia="바탕" w:hAnsi="Times New Roman" w:cs="Times New Roman"/>
          <w:sz w:val="26"/>
          <w:szCs w:val="26"/>
        </w:rPr>
        <w:t xml:space="preserve">there seem to </w:t>
      </w:r>
      <w:r w:rsidR="00D83F60" w:rsidRPr="00257ACB">
        <w:rPr>
          <w:rFonts w:ascii="Times New Roman" w:eastAsia="바탕" w:hAnsi="Times New Roman" w:cs="Times New Roman"/>
          <w:sz w:val="26"/>
          <w:szCs w:val="26"/>
        </w:rPr>
        <w:t>be no restrictions upon the grounds for rejection of the appeal which the employing enterprise is obliged to provide.</w:t>
      </w:r>
      <w:r w:rsidR="006F750A">
        <w:rPr>
          <w:rStyle w:val="ae"/>
          <w:rFonts w:ascii="Times New Roman" w:eastAsia="바탕" w:hAnsi="Times New Roman" w:cs="Times New Roman"/>
          <w:sz w:val="26"/>
          <w:szCs w:val="26"/>
        </w:rPr>
        <w:footnoteReference w:id="552"/>
      </w:r>
      <w:r w:rsidR="00EE14BE" w:rsidRPr="00257ACB">
        <w:rPr>
          <w:rFonts w:ascii="Times New Roman" w:eastAsia="바탕" w:hAnsi="Times New Roman" w:cs="Times New Roman"/>
          <w:sz w:val="26"/>
          <w:szCs w:val="26"/>
        </w:rPr>
        <w:t xml:space="preserve"> </w:t>
      </w:r>
      <w:r w:rsidR="00D66E62" w:rsidRPr="00257ACB">
        <w:rPr>
          <w:rFonts w:ascii="Times New Roman" w:eastAsia="바탕" w:hAnsi="Times New Roman" w:cs="Times New Roman"/>
          <w:sz w:val="26"/>
          <w:szCs w:val="26"/>
        </w:rPr>
        <w:t xml:space="preserve">It has been argued </w:t>
      </w:r>
      <w:r w:rsidR="00770E5E" w:rsidRPr="00257ACB">
        <w:rPr>
          <w:rFonts w:ascii="Times New Roman" w:eastAsia="바탕" w:hAnsi="Times New Roman" w:cs="Times New Roman"/>
          <w:sz w:val="26"/>
          <w:szCs w:val="26"/>
        </w:rPr>
        <w:t>this</w:t>
      </w:r>
      <w:r w:rsidR="003331CE" w:rsidRPr="00257ACB">
        <w:rPr>
          <w:rFonts w:ascii="Times New Roman" w:eastAsia="바탕" w:hAnsi="Times New Roman" w:cs="Times New Roman"/>
          <w:sz w:val="26"/>
          <w:szCs w:val="26"/>
        </w:rPr>
        <w:t xml:space="preserve"> is a normative vacuum in that it is highly unusual for such a duty to be framed in such purely procedural terms and further this regulatory black hole was not </w:t>
      </w:r>
      <w:r w:rsidR="00B83886" w:rsidRPr="00257ACB">
        <w:rPr>
          <w:rFonts w:ascii="Times New Roman" w:eastAsia="바탕" w:hAnsi="Times New Roman" w:cs="Times New Roman"/>
          <w:sz w:val="26"/>
          <w:szCs w:val="26"/>
        </w:rPr>
        <w:t xml:space="preserve">even </w:t>
      </w:r>
      <w:r w:rsidR="003331CE" w:rsidRPr="00257ACB">
        <w:rPr>
          <w:rFonts w:ascii="Times New Roman" w:eastAsia="바탕" w:hAnsi="Times New Roman" w:cs="Times New Roman"/>
          <w:sz w:val="26"/>
          <w:szCs w:val="26"/>
        </w:rPr>
        <w:t>filled with an informal code of practice produce</w:t>
      </w:r>
      <w:r w:rsidR="00B83886" w:rsidRPr="00257ACB">
        <w:rPr>
          <w:rFonts w:ascii="Times New Roman" w:eastAsia="바탕" w:hAnsi="Times New Roman" w:cs="Times New Roman"/>
          <w:sz w:val="26"/>
          <w:szCs w:val="26"/>
        </w:rPr>
        <w:t>d by the Advisory, Conciliation and Arbitration Service (ACAS)</w:t>
      </w:r>
      <w:r w:rsidR="006F750A">
        <w:rPr>
          <w:rStyle w:val="ae"/>
          <w:rFonts w:ascii="Times New Roman" w:eastAsia="바탕" w:hAnsi="Times New Roman" w:cs="Times New Roman"/>
          <w:sz w:val="26"/>
          <w:szCs w:val="26"/>
        </w:rPr>
        <w:footnoteReference w:id="553"/>
      </w:r>
      <w:r w:rsidR="00B83886" w:rsidRPr="00257ACB">
        <w:rPr>
          <w:rFonts w:ascii="Times New Roman" w:eastAsia="바탕" w:hAnsi="Times New Roman" w:cs="Times New Roman"/>
          <w:sz w:val="26"/>
          <w:szCs w:val="26"/>
        </w:rPr>
        <w:t xml:space="preserve">. </w:t>
      </w:r>
      <w:r w:rsidR="003331CE" w:rsidRPr="00257ACB">
        <w:rPr>
          <w:rFonts w:ascii="Times New Roman" w:eastAsia="바탕" w:hAnsi="Times New Roman" w:cs="Times New Roman"/>
          <w:sz w:val="26"/>
          <w:szCs w:val="26"/>
        </w:rPr>
        <w:t xml:space="preserve">    </w:t>
      </w:r>
    </w:p>
    <w:p w14:paraId="41BCF5A4" w14:textId="1E2F887A" w:rsidR="00606FAD" w:rsidRPr="00257ACB" w:rsidRDefault="00606FAD" w:rsidP="00FB22F2">
      <w:pPr>
        <w:rPr>
          <w:rFonts w:ascii="Times New Roman" w:eastAsia="바탕" w:hAnsi="Times New Roman" w:cs="Times New Roman"/>
          <w:sz w:val="26"/>
          <w:szCs w:val="26"/>
        </w:rPr>
      </w:pPr>
    </w:p>
    <w:p w14:paraId="61090008" w14:textId="17F0A953" w:rsidR="00FD1F6C" w:rsidRPr="00257ACB" w:rsidRDefault="00FD1F6C" w:rsidP="00FD1F6C">
      <w:pPr>
        <w:pStyle w:val="a3"/>
        <w:numPr>
          <w:ilvl w:val="0"/>
          <w:numId w:val="23"/>
        </w:numPr>
        <w:ind w:leftChars="0"/>
        <w:rPr>
          <w:rFonts w:ascii="Times New Roman" w:eastAsia="바탕" w:hAnsi="Times New Roman" w:cs="Times New Roman"/>
          <w:sz w:val="26"/>
          <w:szCs w:val="26"/>
        </w:rPr>
      </w:pPr>
      <w:r w:rsidRPr="00257ACB">
        <w:rPr>
          <w:rFonts w:ascii="Times New Roman" w:eastAsia="바탕" w:hAnsi="Times New Roman" w:cs="Times New Roman"/>
          <w:sz w:val="26"/>
          <w:szCs w:val="26"/>
        </w:rPr>
        <w:t>Modifying legislation to non-standard employment</w:t>
      </w:r>
    </w:p>
    <w:p w14:paraId="069C80FD" w14:textId="3D7FA037" w:rsidR="00FD1F6C" w:rsidRPr="00257ACB" w:rsidRDefault="00FD1F6C" w:rsidP="00FD1F6C">
      <w:pPr>
        <w:rPr>
          <w:rFonts w:ascii="Times New Roman" w:eastAsia="바탕" w:hAnsi="Times New Roman" w:cs="Times New Roman"/>
          <w:sz w:val="26"/>
          <w:szCs w:val="26"/>
        </w:rPr>
      </w:pPr>
    </w:p>
    <w:p w14:paraId="0FEF2D4C" w14:textId="35F94D90" w:rsidR="00492996" w:rsidRPr="00257ACB" w:rsidRDefault="00963309" w:rsidP="00FD1F6C">
      <w:pPr>
        <w:rPr>
          <w:rFonts w:ascii="Times New Roman" w:eastAsia="바탕" w:hAnsi="Times New Roman" w:cs="Times New Roman"/>
          <w:sz w:val="26"/>
          <w:szCs w:val="26"/>
        </w:rPr>
      </w:pPr>
      <w:bookmarkStart w:id="7" w:name="_Hlk522051374"/>
      <w:r w:rsidRPr="00257ACB">
        <w:rPr>
          <w:rFonts w:ascii="Times New Roman" w:eastAsia="바탕" w:hAnsi="Times New Roman" w:cs="Times New Roman"/>
          <w:sz w:val="26"/>
          <w:szCs w:val="26"/>
        </w:rPr>
        <w:t xml:space="preserve">During the second phase of the New </w:t>
      </w:r>
      <w:proofErr w:type="spellStart"/>
      <w:r w:rsidRPr="00257ACB">
        <w:rPr>
          <w:rFonts w:ascii="Times New Roman" w:eastAsia="바탕" w:hAnsi="Times New Roman" w:cs="Times New Roman"/>
          <w:sz w:val="26"/>
          <w:szCs w:val="26"/>
        </w:rPr>
        <w:t>Labour</w:t>
      </w:r>
      <w:proofErr w:type="spellEnd"/>
      <w:r w:rsidRPr="00257ACB">
        <w:rPr>
          <w:rFonts w:ascii="Times New Roman" w:eastAsia="바탕" w:hAnsi="Times New Roman" w:cs="Times New Roman"/>
          <w:sz w:val="26"/>
          <w:szCs w:val="26"/>
        </w:rPr>
        <w:t xml:space="preserve"> administration, </w:t>
      </w:r>
      <w:r w:rsidR="005A0C8E" w:rsidRPr="00257ACB">
        <w:rPr>
          <w:rFonts w:ascii="Times New Roman" w:eastAsia="바탕" w:hAnsi="Times New Roman" w:cs="Times New Roman"/>
          <w:sz w:val="26"/>
          <w:szCs w:val="26"/>
        </w:rPr>
        <w:t xml:space="preserve">there were two legislative issues </w:t>
      </w:r>
      <w:r w:rsidR="005A0C8E" w:rsidRPr="00257ACB">
        <w:rPr>
          <w:rFonts w:ascii="Times New Roman" w:eastAsia="바탕" w:hAnsi="Times New Roman" w:cs="Times New Roman"/>
          <w:sz w:val="26"/>
          <w:szCs w:val="26"/>
        </w:rPr>
        <w:lastRenderedPageBreak/>
        <w:t>which can illustrate a story of reaction or resistance to EU legislation or proposals for legislation</w:t>
      </w:r>
      <w:r w:rsidR="00A87E04" w:rsidRPr="00257ACB">
        <w:rPr>
          <w:rFonts w:ascii="Times New Roman" w:eastAsia="바탕" w:hAnsi="Times New Roman" w:cs="Times New Roman"/>
          <w:sz w:val="26"/>
          <w:szCs w:val="26"/>
        </w:rPr>
        <w:t xml:space="preserve"> </w:t>
      </w:r>
      <w:r w:rsidR="00D71FA7" w:rsidRPr="00257ACB">
        <w:rPr>
          <w:rFonts w:ascii="Times New Roman" w:eastAsia="바탕" w:hAnsi="Times New Roman" w:cs="Times New Roman"/>
          <w:sz w:val="26"/>
          <w:szCs w:val="26"/>
        </w:rPr>
        <w:t>with regard to the modification of the law of personal work relations to non-standard employment</w:t>
      </w:r>
      <w:r w:rsidR="005A0C8E" w:rsidRPr="00257ACB">
        <w:rPr>
          <w:rFonts w:ascii="Times New Roman" w:eastAsia="바탕" w:hAnsi="Times New Roman" w:cs="Times New Roman"/>
          <w:sz w:val="26"/>
          <w:szCs w:val="26"/>
        </w:rPr>
        <w:t>, the first concerned with the regulation of fixed-term work, and the second with the regulation of temporary agency work.</w:t>
      </w:r>
      <w:r w:rsidR="006F750A">
        <w:rPr>
          <w:rStyle w:val="ae"/>
          <w:rFonts w:ascii="Times New Roman" w:eastAsia="바탕" w:hAnsi="Times New Roman" w:cs="Times New Roman"/>
          <w:sz w:val="26"/>
          <w:szCs w:val="26"/>
        </w:rPr>
        <w:footnoteReference w:id="554"/>
      </w:r>
      <w:r w:rsidR="008E4814" w:rsidRPr="00257ACB">
        <w:rPr>
          <w:rFonts w:ascii="Times New Roman" w:eastAsia="바탕" w:hAnsi="Times New Roman" w:cs="Times New Roman"/>
          <w:sz w:val="26"/>
          <w:szCs w:val="26"/>
        </w:rPr>
        <w:t xml:space="preserve"> </w:t>
      </w:r>
      <w:r w:rsidR="00332600" w:rsidRPr="00257ACB">
        <w:rPr>
          <w:rFonts w:ascii="Times New Roman" w:eastAsia="바탕" w:hAnsi="Times New Roman" w:cs="Times New Roman"/>
          <w:sz w:val="26"/>
          <w:szCs w:val="26"/>
        </w:rPr>
        <w:t>In the regulation of the relationship between part-time work and full-time work, initiated by the Framework Agreement and Directive on Part-time work</w:t>
      </w:r>
      <w:r w:rsidR="007D7A4A" w:rsidRPr="00257ACB">
        <w:rPr>
          <w:rFonts w:ascii="Times New Roman" w:eastAsia="바탕" w:hAnsi="Times New Roman" w:cs="Times New Roman"/>
          <w:sz w:val="26"/>
          <w:szCs w:val="26"/>
        </w:rPr>
        <w:t xml:space="preserve">, was </w:t>
      </w:r>
      <w:r w:rsidR="00D428B3" w:rsidRPr="00257ACB">
        <w:rPr>
          <w:rFonts w:ascii="Times New Roman" w:eastAsia="바탕" w:hAnsi="Times New Roman" w:cs="Times New Roman"/>
          <w:sz w:val="26"/>
          <w:szCs w:val="26"/>
        </w:rPr>
        <w:t xml:space="preserve">projected </w:t>
      </w:r>
      <w:r w:rsidR="007D7A4A" w:rsidRPr="00257ACB">
        <w:rPr>
          <w:rFonts w:ascii="Times New Roman" w:eastAsia="바탕" w:hAnsi="Times New Roman" w:cs="Times New Roman"/>
          <w:sz w:val="26"/>
          <w:szCs w:val="26"/>
        </w:rPr>
        <w:t>by the European Commission and the parties to the EU Social Dialogue as the first step in a sequence of measures which would</w:t>
      </w:r>
      <w:r w:rsidR="00625E26" w:rsidRPr="00257ACB">
        <w:rPr>
          <w:rFonts w:ascii="Times New Roman" w:eastAsia="바탕" w:hAnsi="Times New Roman" w:cs="Times New Roman"/>
          <w:sz w:val="26"/>
          <w:szCs w:val="26"/>
        </w:rPr>
        <w:t xml:space="preserve"> comprehensively </w:t>
      </w:r>
      <w:r w:rsidR="007D7A4A" w:rsidRPr="00257ACB">
        <w:rPr>
          <w:rFonts w:ascii="Times New Roman" w:eastAsia="바탕" w:hAnsi="Times New Roman" w:cs="Times New Roman"/>
          <w:sz w:val="26"/>
          <w:szCs w:val="26"/>
        </w:rPr>
        <w:t>regulate the relationship between standard and non-standard forms of employment.</w:t>
      </w:r>
      <w:r w:rsidR="00FC4DDA" w:rsidRPr="00257ACB">
        <w:rPr>
          <w:rFonts w:ascii="Times New Roman" w:eastAsia="바탕" w:hAnsi="Times New Roman" w:cs="Times New Roman"/>
          <w:sz w:val="26"/>
          <w:szCs w:val="26"/>
        </w:rPr>
        <w:t xml:space="preserve"> </w:t>
      </w:r>
      <w:r w:rsidR="006F750A">
        <w:rPr>
          <w:rStyle w:val="ae"/>
          <w:rFonts w:ascii="Times New Roman" w:eastAsia="바탕" w:hAnsi="Times New Roman" w:cs="Times New Roman"/>
          <w:sz w:val="26"/>
          <w:szCs w:val="26"/>
        </w:rPr>
        <w:footnoteReference w:id="555"/>
      </w:r>
      <w:r w:rsidR="00FC4DDA" w:rsidRPr="00257ACB">
        <w:rPr>
          <w:rFonts w:ascii="Times New Roman" w:eastAsia="바탕" w:hAnsi="Times New Roman" w:cs="Times New Roman"/>
          <w:sz w:val="26"/>
          <w:szCs w:val="26"/>
        </w:rPr>
        <w:t>And then the next step was the conclusion in 1999 of the Agreement on Fixed-term Work and the making of the Fixed-term Work Directive</w:t>
      </w:r>
      <w:r w:rsidR="006F750A">
        <w:rPr>
          <w:rStyle w:val="ae"/>
          <w:rFonts w:ascii="Times New Roman" w:eastAsia="바탕" w:hAnsi="Times New Roman" w:cs="Times New Roman"/>
          <w:sz w:val="26"/>
          <w:szCs w:val="26"/>
        </w:rPr>
        <w:footnoteReference w:id="556"/>
      </w:r>
      <w:r w:rsidR="00495EE0" w:rsidRPr="00257ACB">
        <w:rPr>
          <w:rFonts w:ascii="Times New Roman" w:eastAsia="바탕" w:hAnsi="Times New Roman" w:cs="Times New Roman"/>
          <w:sz w:val="26"/>
          <w:szCs w:val="26"/>
        </w:rPr>
        <w:t xml:space="preserve"> to give effect to that agreement.</w:t>
      </w:r>
      <w:r w:rsidR="00D302EC" w:rsidRPr="00257ACB">
        <w:rPr>
          <w:rFonts w:ascii="Times New Roman" w:eastAsia="바탕" w:hAnsi="Times New Roman" w:cs="Times New Roman"/>
          <w:sz w:val="26"/>
          <w:szCs w:val="26"/>
        </w:rPr>
        <w:t xml:space="preserve"> The Agreement and Directive had two main specific purposes, the first being to </w:t>
      </w:r>
      <w:r w:rsidR="00197282" w:rsidRPr="00257ACB">
        <w:rPr>
          <w:rFonts w:ascii="Times New Roman" w:eastAsia="바탕" w:hAnsi="Times New Roman" w:cs="Times New Roman"/>
          <w:sz w:val="26"/>
          <w:szCs w:val="26"/>
        </w:rPr>
        <w:t xml:space="preserve">set up </w:t>
      </w:r>
      <w:r w:rsidR="00D302EC" w:rsidRPr="00257ACB">
        <w:rPr>
          <w:rFonts w:ascii="Times New Roman" w:eastAsia="바탕" w:hAnsi="Times New Roman" w:cs="Times New Roman"/>
          <w:sz w:val="26"/>
          <w:szCs w:val="26"/>
        </w:rPr>
        <w:t>a measure of parity or equivalence between the terms and conditions of part-time work and those of full-time work,</w:t>
      </w:r>
      <w:r w:rsidR="006F750A">
        <w:rPr>
          <w:rStyle w:val="ae"/>
          <w:rFonts w:ascii="Times New Roman" w:eastAsia="바탕" w:hAnsi="Times New Roman" w:cs="Times New Roman"/>
          <w:sz w:val="26"/>
          <w:szCs w:val="26"/>
        </w:rPr>
        <w:footnoteReference w:id="557"/>
      </w:r>
      <w:r w:rsidR="00D302EC" w:rsidRPr="00257ACB">
        <w:rPr>
          <w:rFonts w:ascii="Times New Roman" w:eastAsia="바탕" w:hAnsi="Times New Roman" w:cs="Times New Roman"/>
          <w:sz w:val="26"/>
          <w:szCs w:val="26"/>
        </w:rPr>
        <w:t xml:space="preserve"> and the second being to control the use by employers of successive fixed-term employment contracts or relationships as an abusive alternative </w:t>
      </w:r>
      <w:r w:rsidR="00197282" w:rsidRPr="00257ACB">
        <w:rPr>
          <w:rFonts w:ascii="Times New Roman" w:eastAsia="바탕" w:hAnsi="Times New Roman" w:cs="Times New Roman"/>
          <w:sz w:val="26"/>
          <w:szCs w:val="26"/>
        </w:rPr>
        <w:t xml:space="preserve">measure </w:t>
      </w:r>
      <w:r w:rsidR="00D302EC" w:rsidRPr="00257ACB">
        <w:rPr>
          <w:rFonts w:ascii="Times New Roman" w:eastAsia="바탕" w:hAnsi="Times New Roman" w:cs="Times New Roman"/>
          <w:sz w:val="26"/>
          <w:szCs w:val="26"/>
        </w:rPr>
        <w:t>to the making of open-ended or permanent work contracts or relationships.</w:t>
      </w:r>
      <w:r w:rsidR="006F750A">
        <w:rPr>
          <w:rStyle w:val="ae"/>
          <w:rFonts w:ascii="Times New Roman" w:eastAsia="바탕" w:hAnsi="Times New Roman" w:cs="Times New Roman"/>
          <w:sz w:val="26"/>
          <w:szCs w:val="26"/>
        </w:rPr>
        <w:footnoteReference w:id="558"/>
      </w:r>
      <w:r w:rsidR="00CF0E10" w:rsidRPr="00257ACB">
        <w:rPr>
          <w:rFonts w:ascii="Times New Roman" w:eastAsia="바탕" w:hAnsi="Times New Roman" w:cs="Times New Roman"/>
          <w:sz w:val="26"/>
          <w:szCs w:val="26"/>
        </w:rPr>
        <w:t xml:space="preserve"> The implementation in the UK of the Fixed-term Work Directive confirmed the </w:t>
      </w:r>
      <w:r w:rsidR="002D67BF" w:rsidRPr="00257ACB">
        <w:rPr>
          <w:rFonts w:ascii="Times New Roman" w:eastAsia="바탕" w:hAnsi="Times New Roman" w:cs="Times New Roman"/>
          <w:sz w:val="26"/>
          <w:szCs w:val="26"/>
        </w:rPr>
        <w:t xml:space="preserve">tendency towards caution which had begun to manifest itself in the response to the Part-time Work Directive during the first New </w:t>
      </w:r>
      <w:proofErr w:type="spellStart"/>
      <w:r w:rsidR="002D67BF" w:rsidRPr="00257ACB">
        <w:rPr>
          <w:rFonts w:ascii="Times New Roman" w:eastAsia="바탕" w:hAnsi="Times New Roman" w:cs="Times New Roman"/>
          <w:sz w:val="26"/>
          <w:szCs w:val="26"/>
        </w:rPr>
        <w:t>Labour</w:t>
      </w:r>
      <w:proofErr w:type="spellEnd"/>
      <w:r w:rsidR="002D67BF" w:rsidRPr="00257ACB">
        <w:rPr>
          <w:rFonts w:ascii="Times New Roman" w:eastAsia="바탕" w:hAnsi="Times New Roman" w:cs="Times New Roman"/>
          <w:sz w:val="26"/>
          <w:szCs w:val="26"/>
        </w:rPr>
        <w:t xml:space="preserve"> government</w:t>
      </w:r>
      <w:r w:rsidR="006F750A">
        <w:rPr>
          <w:rStyle w:val="ae"/>
          <w:rFonts w:ascii="Times New Roman" w:eastAsia="바탕" w:hAnsi="Times New Roman" w:cs="Times New Roman"/>
          <w:sz w:val="26"/>
          <w:szCs w:val="26"/>
        </w:rPr>
        <w:footnoteReference w:id="559"/>
      </w:r>
      <w:r w:rsidR="002D67BF" w:rsidRPr="00257ACB">
        <w:rPr>
          <w:rFonts w:ascii="Times New Roman" w:eastAsia="바탕" w:hAnsi="Times New Roman" w:cs="Times New Roman"/>
          <w:sz w:val="26"/>
          <w:szCs w:val="26"/>
        </w:rPr>
        <w:t xml:space="preserve">. Aileen </w:t>
      </w:r>
      <w:proofErr w:type="spellStart"/>
      <w:r w:rsidR="002D67BF" w:rsidRPr="00257ACB">
        <w:rPr>
          <w:rFonts w:ascii="Times New Roman" w:eastAsia="바탕" w:hAnsi="Times New Roman" w:cs="Times New Roman"/>
          <w:sz w:val="26"/>
          <w:szCs w:val="26"/>
        </w:rPr>
        <w:t>McColgan</w:t>
      </w:r>
      <w:proofErr w:type="spellEnd"/>
      <w:r w:rsidR="002D67BF" w:rsidRPr="00257ACB">
        <w:rPr>
          <w:rFonts w:ascii="Times New Roman" w:eastAsia="바탕" w:hAnsi="Times New Roman" w:cs="Times New Roman"/>
          <w:sz w:val="26"/>
          <w:szCs w:val="26"/>
        </w:rPr>
        <w:t xml:space="preserve"> </w:t>
      </w:r>
      <w:r w:rsidR="0042623F" w:rsidRPr="00257ACB">
        <w:rPr>
          <w:rFonts w:ascii="Times New Roman" w:eastAsia="바탕" w:hAnsi="Times New Roman" w:cs="Times New Roman"/>
          <w:sz w:val="26"/>
          <w:szCs w:val="26"/>
        </w:rPr>
        <w:t>acknowledged in her review</w:t>
      </w:r>
      <w:r w:rsidR="002D67BF" w:rsidRPr="00257ACB">
        <w:rPr>
          <w:rFonts w:ascii="Times New Roman" w:eastAsia="바탕" w:hAnsi="Times New Roman" w:cs="Times New Roman"/>
          <w:sz w:val="26"/>
          <w:szCs w:val="26"/>
        </w:rPr>
        <w:t xml:space="preserve"> the Fixed-Term Employees (Prevention of Less </w:t>
      </w:r>
      <w:proofErr w:type="spellStart"/>
      <w:r w:rsidR="002D67BF" w:rsidRPr="00257ACB">
        <w:rPr>
          <w:rFonts w:ascii="Times New Roman" w:eastAsia="바탕" w:hAnsi="Times New Roman" w:cs="Times New Roman"/>
          <w:sz w:val="26"/>
          <w:szCs w:val="26"/>
        </w:rPr>
        <w:t>Favourable</w:t>
      </w:r>
      <w:proofErr w:type="spellEnd"/>
      <w:r w:rsidR="002D67BF" w:rsidRPr="00257ACB">
        <w:rPr>
          <w:rFonts w:ascii="Times New Roman" w:eastAsia="바탕" w:hAnsi="Times New Roman" w:cs="Times New Roman"/>
          <w:sz w:val="26"/>
          <w:szCs w:val="26"/>
        </w:rPr>
        <w:t xml:space="preserve"> Trea</w:t>
      </w:r>
      <w:r w:rsidR="0042623F" w:rsidRPr="00257ACB">
        <w:rPr>
          <w:rFonts w:ascii="Times New Roman" w:eastAsia="바탕" w:hAnsi="Times New Roman" w:cs="Times New Roman"/>
          <w:sz w:val="26"/>
          <w:szCs w:val="26"/>
        </w:rPr>
        <w:t>tment) Regulations 2002 as representing the UK ‘adopting its by now standard minimalist approach to transposition’, not only going no further than required by the Directive, but arguably even failing adequately to transpose it.</w:t>
      </w:r>
      <w:r w:rsidR="006F750A">
        <w:rPr>
          <w:rStyle w:val="ae"/>
          <w:rFonts w:ascii="Times New Roman" w:eastAsia="바탕" w:hAnsi="Times New Roman" w:cs="Times New Roman"/>
          <w:sz w:val="26"/>
          <w:szCs w:val="26"/>
        </w:rPr>
        <w:footnoteReference w:id="560"/>
      </w:r>
      <w:r w:rsidR="00E93295" w:rsidRPr="00257ACB">
        <w:rPr>
          <w:rFonts w:ascii="Times New Roman" w:eastAsia="바탕" w:hAnsi="Times New Roman" w:cs="Times New Roman"/>
          <w:sz w:val="26"/>
          <w:szCs w:val="26"/>
        </w:rPr>
        <w:t xml:space="preserve"> The government</w:t>
      </w:r>
      <w:r w:rsidR="00AC3FB2" w:rsidRPr="00257ACB">
        <w:rPr>
          <w:rFonts w:ascii="Times New Roman" w:eastAsia="바탕" w:hAnsi="Times New Roman" w:cs="Times New Roman"/>
          <w:sz w:val="26"/>
          <w:szCs w:val="26"/>
        </w:rPr>
        <w:t xml:space="preserve">, clearly </w:t>
      </w:r>
      <w:r w:rsidR="008B0336" w:rsidRPr="00257ACB">
        <w:rPr>
          <w:rFonts w:ascii="Times New Roman" w:eastAsia="바탕" w:hAnsi="Times New Roman" w:cs="Times New Roman"/>
          <w:sz w:val="26"/>
          <w:szCs w:val="26"/>
        </w:rPr>
        <w:t xml:space="preserve">having </w:t>
      </w:r>
      <w:r w:rsidR="00AC3FB2" w:rsidRPr="00257ACB">
        <w:rPr>
          <w:rFonts w:ascii="Times New Roman" w:eastAsia="바탕" w:hAnsi="Times New Roman" w:cs="Times New Roman"/>
          <w:sz w:val="26"/>
          <w:szCs w:val="26"/>
        </w:rPr>
        <w:t>intent</w:t>
      </w:r>
      <w:r w:rsidR="008B0336" w:rsidRPr="00257ACB">
        <w:rPr>
          <w:rFonts w:ascii="Times New Roman" w:eastAsia="바탕" w:hAnsi="Times New Roman" w:cs="Times New Roman"/>
          <w:sz w:val="26"/>
          <w:szCs w:val="26"/>
        </w:rPr>
        <w:t>ion</w:t>
      </w:r>
      <w:r w:rsidR="00AC3FB2" w:rsidRPr="00257ACB">
        <w:rPr>
          <w:rFonts w:ascii="Times New Roman" w:eastAsia="바탕" w:hAnsi="Times New Roman" w:cs="Times New Roman"/>
          <w:sz w:val="26"/>
          <w:szCs w:val="26"/>
        </w:rPr>
        <w:t xml:space="preserve"> upon devising a ‘light regulation’ version of the fixed-term parity principle, in much </w:t>
      </w:r>
      <w:r w:rsidR="00AC3FB2" w:rsidRPr="00257ACB">
        <w:rPr>
          <w:rFonts w:ascii="Times New Roman" w:eastAsia="바탕" w:hAnsi="Times New Roman" w:cs="Times New Roman"/>
          <w:sz w:val="26"/>
          <w:szCs w:val="26"/>
        </w:rPr>
        <w:lastRenderedPageBreak/>
        <w:t xml:space="preserve">the same way as it had sought a restricted version of the part-time parity principle, </w:t>
      </w:r>
      <w:r w:rsidR="000C62CF" w:rsidRPr="00257ACB">
        <w:rPr>
          <w:rFonts w:ascii="Times New Roman" w:eastAsia="바탕" w:hAnsi="Times New Roman" w:cs="Times New Roman"/>
          <w:sz w:val="26"/>
          <w:szCs w:val="26"/>
        </w:rPr>
        <w:t>on this occasion chose to do so mainly by restricting its scope, indeed the scope of the Regulations as a whole, to ‘employees’</w:t>
      </w:r>
      <w:r w:rsidR="006F750A">
        <w:rPr>
          <w:rStyle w:val="ae"/>
          <w:rFonts w:ascii="Times New Roman" w:eastAsia="바탕" w:hAnsi="Times New Roman" w:cs="Times New Roman"/>
          <w:sz w:val="26"/>
          <w:szCs w:val="26"/>
        </w:rPr>
        <w:footnoteReference w:id="561"/>
      </w:r>
      <w:r w:rsidR="000C62CF" w:rsidRPr="00257ACB">
        <w:rPr>
          <w:rFonts w:ascii="Times New Roman" w:eastAsia="바탕" w:hAnsi="Times New Roman" w:cs="Times New Roman"/>
          <w:sz w:val="26"/>
          <w:szCs w:val="26"/>
        </w:rPr>
        <w:t xml:space="preserve"> rather than to the larger category of ‘workers’, the category which it had been judged appropriate to adopt in order to give effect to the Part-time Work Directive,</w:t>
      </w:r>
      <w:r w:rsidR="006F750A">
        <w:rPr>
          <w:rStyle w:val="ae"/>
          <w:rFonts w:ascii="Times New Roman" w:eastAsia="바탕" w:hAnsi="Times New Roman" w:cs="Times New Roman"/>
          <w:sz w:val="26"/>
          <w:szCs w:val="26"/>
        </w:rPr>
        <w:footnoteReference w:id="562"/>
      </w:r>
      <w:r w:rsidR="000C62CF" w:rsidRPr="00257ACB">
        <w:rPr>
          <w:rFonts w:ascii="Times New Roman" w:eastAsia="바탕" w:hAnsi="Times New Roman" w:cs="Times New Roman"/>
          <w:sz w:val="26"/>
          <w:szCs w:val="26"/>
        </w:rPr>
        <w:t xml:space="preserve"> cast in almost identical terms to those of the Fixed-term Work Directive with regard to its personal scope.</w:t>
      </w:r>
      <w:r w:rsidR="006F750A">
        <w:rPr>
          <w:rStyle w:val="ae"/>
          <w:rFonts w:ascii="Times New Roman" w:eastAsia="바탕" w:hAnsi="Times New Roman" w:cs="Times New Roman"/>
          <w:sz w:val="26"/>
          <w:szCs w:val="26"/>
        </w:rPr>
        <w:footnoteReference w:id="563"/>
      </w:r>
      <w:r w:rsidR="00791FF5" w:rsidRPr="00257ACB">
        <w:rPr>
          <w:rFonts w:ascii="Times New Roman" w:eastAsia="바탕" w:hAnsi="Times New Roman" w:cs="Times New Roman"/>
          <w:sz w:val="26"/>
          <w:szCs w:val="26"/>
        </w:rPr>
        <w:t xml:space="preserve"> </w:t>
      </w:r>
      <w:r w:rsidR="001E2654" w:rsidRPr="00257ACB">
        <w:rPr>
          <w:rFonts w:ascii="Times New Roman" w:eastAsia="바탕" w:hAnsi="Times New Roman" w:cs="Times New Roman"/>
          <w:sz w:val="26"/>
          <w:szCs w:val="26"/>
        </w:rPr>
        <w:t xml:space="preserve">This is known to mark a turning point away from the enterprise of enlargement of the personal scope of employment legislation upon which the New </w:t>
      </w:r>
      <w:proofErr w:type="spellStart"/>
      <w:r w:rsidR="001E2654" w:rsidRPr="00257ACB">
        <w:rPr>
          <w:rFonts w:ascii="Times New Roman" w:eastAsia="바탕" w:hAnsi="Times New Roman" w:cs="Times New Roman"/>
          <w:sz w:val="26"/>
          <w:szCs w:val="26"/>
        </w:rPr>
        <w:t>Labour</w:t>
      </w:r>
      <w:proofErr w:type="spellEnd"/>
      <w:r w:rsidR="001E2654" w:rsidRPr="00257ACB">
        <w:rPr>
          <w:rFonts w:ascii="Times New Roman" w:eastAsia="바탕" w:hAnsi="Times New Roman" w:cs="Times New Roman"/>
          <w:sz w:val="26"/>
          <w:szCs w:val="26"/>
        </w:rPr>
        <w:t xml:space="preserve"> administration had embarked in its first term of government.</w:t>
      </w:r>
      <w:r w:rsidR="006F750A">
        <w:rPr>
          <w:rStyle w:val="ae"/>
          <w:rFonts w:ascii="Times New Roman" w:eastAsia="바탕" w:hAnsi="Times New Roman" w:cs="Times New Roman"/>
          <w:sz w:val="26"/>
          <w:szCs w:val="26"/>
        </w:rPr>
        <w:footnoteReference w:id="564"/>
      </w:r>
      <w:r w:rsidR="001E2654" w:rsidRPr="00257ACB">
        <w:rPr>
          <w:rFonts w:ascii="Times New Roman" w:eastAsia="바탕" w:hAnsi="Times New Roman" w:cs="Times New Roman"/>
          <w:sz w:val="26"/>
          <w:szCs w:val="26"/>
        </w:rPr>
        <w:t xml:space="preserve"> </w:t>
      </w:r>
      <w:r w:rsidR="00C714A7" w:rsidRPr="00257ACB">
        <w:rPr>
          <w:rFonts w:ascii="Times New Roman" w:eastAsia="바탕" w:hAnsi="Times New Roman" w:cs="Times New Roman"/>
          <w:sz w:val="26"/>
          <w:szCs w:val="26"/>
        </w:rPr>
        <w:t>As to the second main principle of the legislation, the controlling of the abusive use of successive fixed-term contracts, which the Regulations chose to implement by converting a successive fixed-term contract into a permanent one</w:t>
      </w:r>
      <w:r w:rsidR="006F750A">
        <w:rPr>
          <w:rStyle w:val="ae"/>
          <w:rFonts w:ascii="Times New Roman" w:eastAsia="바탕" w:hAnsi="Times New Roman" w:cs="Times New Roman"/>
          <w:sz w:val="26"/>
          <w:szCs w:val="26"/>
        </w:rPr>
        <w:footnoteReference w:id="565"/>
      </w:r>
      <w:r w:rsidR="00C714A7" w:rsidRPr="00257ACB">
        <w:rPr>
          <w:rFonts w:ascii="Times New Roman" w:eastAsia="바탕" w:hAnsi="Times New Roman" w:cs="Times New Roman"/>
          <w:sz w:val="26"/>
          <w:szCs w:val="26"/>
        </w:rPr>
        <w:t xml:space="preserve"> in the absence of objective justification for casting it in fixed-term form</w:t>
      </w:r>
      <w:r w:rsidR="006F750A">
        <w:rPr>
          <w:rStyle w:val="ae"/>
          <w:rFonts w:ascii="Times New Roman" w:eastAsia="바탕" w:hAnsi="Times New Roman" w:cs="Times New Roman"/>
          <w:sz w:val="26"/>
          <w:szCs w:val="26"/>
        </w:rPr>
        <w:footnoteReference w:id="566"/>
      </w:r>
      <w:r w:rsidR="00C714A7" w:rsidRPr="00257ACB">
        <w:rPr>
          <w:rFonts w:ascii="Times New Roman" w:eastAsia="바탕" w:hAnsi="Times New Roman" w:cs="Times New Roman"/>
          <w:sz w:val="26"/>
          <w:szCs w:val="26"/>
        </w:rPr>
        <w:t>, a relatively tight constraint upon its transposition from the Directive was realized by confining this conversion effect to employment of a minimum of four years’ continuous duration.</w:t>
      </w:r>
      <w:r w:rsidR="00C46AC1">
        <w:rPr>
          <w:rStyle w:val="ae"/>
          <w:rFonts w:ascii="Times New Roman" w:eastAsia="바탕" w:hAnsi="Times New Roman" w:cs="Times New Roman"/>
          <w:sz w:val="26"/>
          <w:szCs w:val="26"/>
        </w:rPr>
        <w:footnoteReference w:id="567"/>
      </w:r>
      <w:r w:rsidR="009368E6" w:rsidRPr="00257ACB">
        <w:rPr>
          <w:rFonts w:ascii="Times New Roman" w:eastAsia="바탕" w:hAnsi="Times New Roman" w:cs="Times New Roman"/>
          <w:sz w:val="26"/>
          <w:szCs w:val="26"/>
        </w:rPr>
        <w:t xml:space="preserve"> It has been argued that </w:t>
      </w:r>
      <w:r w:rsidR="00CF4B4D" w:rsidRPr="00257ACB">
        <w:rPr>
          <w:rFonts w:ascii="Times New Roman" w:eastAsia="바탕" w:hAnsi="Times New Roman" w:cs="Times New Roman"/>
          <w:sz w:val="26"/>
          <w:szCs w:val="26"/>
        </w:rPr>
        <w:t xml:space="preserve">with regard to </w:t>
      </w:r>
      <w:r w:rsidR="009368E6" w:rsidRPr="00257ACB">
        <w:rPr>
          <w:rFonts w:ascii="Times New Roman" w:eastAsia="바탕" w:hAnsi="Times New Roman" w:cs="Times New Roman"/>
          <w:sz w:val="26"/>
          <w:szCs w:val="26"/>
        </w:rPr>
        <w:t>that temporary agency workers, the government’s favor for ‘light regulation’ and the maintenance of managerial adaptability must be judged to have reached the heights of negativity in the face both of EU regulatory initiatives and domestic pressures for worker-protective legislation</w:t>
      </w:r>
      <w:r w:rsidR="00CF4B4D" w:rsidRPr="00257ACB">
        <w:rPr>
          <w:rFonts w:ascii="Times New Roman" w:eastAsia="바탕" w:hAnsi="Times New Roman" w:cs="Times New Roman"/>
          <w:sz w:val="26"/>
          <w:szCs w:val="26"/>
        </w:rPr>
        <w:t>.</w:t>
      </w:r>
      <w:r w:rsidR="00C46AC1">
        <w:rPr>
          <w:rStyle w:val="ae"/>
          <w:rFonts w:ascii="Times New Roman" w:eastAsia="바탕" w:hAnsi="Times New Roman" w:cs="Times New Roman"/>
          <w:sz w:val="26"/>
          <w:szCs w:val="26"/>
        </w:rPr>
        <w:footnoteReference w:id="568"/>
      </w:r>
      <w:r w:rsidR="00CF4B4D" w:rsidRPr="00257ACB">
        <w:rPr>
          <w:rFonts w:ascii="Times New Roman" w:eastAsia="바탕" w:hAnsi="Times New Roman" w:cs="Times New Roman"/>
          <w:sz w:val="26"/>
          <w:szCs w:val="26"/>
        </w:rPr>
        <w:t xml:space="preserve"> </w:t>
      </w:r>
      <w:r w:rsidR="00353742" w:rsidRPr="00257ACB">
        <w:rPr>
          <w:rFonts w:ascii="Times New Roman" w:eastAsia="바탕" w:hAnsi="Times New Roman" w:cs="Times New Roman"/>
          <w:sz w:val="26"/>
          <w:szCs w:val="26"/>
        </w:rPr>
        <w:t xml:space="preserve">The situation and regulatory needs of temporary agency workers had been a long-standing preoccupation of the European Commission, from </w:t>
      </w:r>
      <w:r w:rsidR="00353742" w:rsidRPr="00257ACB">
        <w:rPr>
          <w:rFonts w:ascii="Times New Roman" w:eastAsia="바탕" w:hAnsi="Times New Roman" w:cs="Times New Roman"/>
          <w:sz w:val="26"/>
          <w:szCs w:val="26"/>
        </w:rPr>
        <w:lastRenderedPageBreak/>
        <w:t>the perspectives both of Social Policy and of the European Employment Strategy, and it had been clear from the mid-1990s onwards that its aspirations for the regulation of non-standard employment, expressed in the initiatives leading to the Part-time Work and Fixed-term Work Directives, would not be fully realized until those Directives had been complemented by a further one on Temporary Agency Work.</w:t>
      </w:r>
      <w:r w:rsidR="00C46AC1">
        <w:rPr>
          <w:rStyle w:val="ae"/>
          <w:rFonts w:ascii="Times New Roman" w:eastAsia="바탕" w:hAnsi="Times New Roman" w:cs="Times New Roman"/>
          <w:sz w:val="26"/>
          <w:szCs w:val="26"/>
        </w:rPr>
        <w:footnoteReference w:id="569"/>
      </w:r>
      <w:r w:rsidR="00491F88" w:rsidRPr="00257ACB">
        <w:rPr>
          <w:rFonts w:ascii="Times New Roman" w:eastAsia="바탕" w:hAnsi="Times New Roman" w:cs="Times New Roman"/>
          <w:sz w:val="26"/>
          <w:szCs w:val="26"/>
        </w:rPr>
        <w:t xml:space="preserve"> </w:t>
      </w:r>
      <w:r w:rsidR="009B14DE" w:rsidRPr="00257ACB">
        <w:rPr>
          <w:rFonts w:ascii="Times New Roman" w:eastAsia="바탕" w:hAnsi="Times New Roman" w:cs="Times New Roman"/>
          <w:sz w:val="26"/>
          <w:szCs w:val="26"/>
        </w:rPr>
        <w:t xml:space="preserve">The central concern of the Commission was to establish a parity principle between temporary agency workers and their directly and more permanently employed counterparts, </w:t>
      </w:r>
      <w:r w:rsidR="00A74B0C" w:rsidRPr="00257ACB">
        <w:rPr>
          <w:rFonts w:ascii="Times New Roman" w:eastAsia="바탕" w:hAnsi="Times New Roman" w:cs="Times New Roman"/>
          <w:sz w:val="26"/>
          <w:szCs w:val="26"/>
        </w:rPr>
        <w:t xml:space="preserve">but in March 2002, the Commission </w:t>
      </w:r>
      <w:r w:rsidR="00510614" w:rsidRPr="00257ACB">
        <w:rPr>
          <w:rFonts w:ascii="Times New Roman" w:eastAsia="바탕" w:hAnsi="Times New Roman" w:cs="Times New Roman"/>
          <w:sz w:val="26"/>
          <w:szCs w:val="26"/>
        </w:rPr>
        <w:t>sidestepped clearly irresoluble disagreement about this matter between the Social Partners to the European Social Dialogue by presenting its own proposal for a Temporary Agency Workers Directive.</w:t>
      </w:r>
      <w:r w:rsidR="00C46AC1">
        <w:rPr>
          <w:rStyle w:val="ae"/>
          <w:rFonts w:ascii="Times New Roman" w:eastAsia="바탕" w:hAnsi="Times New Roman" w:cs="Times New Roman"/>
          <w:sz w:val="26"/>
          <w:szCs w:val="26"/>
        </w:rPr>
        <w:footnoteReference w:id="570"/>
      </w:r>
      <w:r w:rsidR="00492996" w:rsidRPr="00257ACB">
        <w:rPr>
          <w:rFonts w:ascii="Times New Roman" w:eastAsia="바탕" w:hAnsi="Times New Roman" w:cs="Times New Roman"/>
          <w:sz w:val="26"/>
          <w:szCs w:val="26"/>
        </w:rPr>
        <w:t xml:space="preserve"> Furthermore, there was an additional local regulatory problem from 2001 onwards, </w:t>
      </w:r>
      <w:r w:rsidR="0027158C" w:rsidRPr="00257ACB">
        <w:rPr>
          <w:rFonts w:ascii="Times New Roman" w:eastAsia="바탕" w:hAnsi="Times New Roman" w:cs="Times New Roman"/>
          <w:sz w:val="26"/>
          <w:szCs w:val="26"/>
        </w:rPr>
        <w:t>and that was</w:t>
      </w:r>
      <w:r w:rsidR="00492996" w:rsidRPr="00257ACB">
        <w:rPr>
          <w:rFonts w:ascii="Times New Roman" w:eastAsia="바탕" w:hAnsi="Times New Roman" w:cs="Times New Roman"/>
          <w:sz w:val="26"/>
          <w:szCs w:val="26"/>
        </w:rPr>
        <w:t xml:space="preserve"> the British courts were </w:t>
      </w:r>
      <w:r w:rsidR="0027158C" w:rsidRPr="00257ACB">
        <w:rPr>
          <w:rFonts w:ascii="Times New Roman" w:eastAsia="바탕" w:hAnsi="Times New Roman" w:cs="Times New Roman"/>
          <w:sz w:val="26"/>
          <w:szCs w:val="26"/>
        </w:rPr>
        <w:t>having</w:t>
      </w:r>
      <w:r w:rsidR="00492996" w:rsidRPr="00257ACB">
        <w:rPr>
          <w:rFonts w:ascii="Times New Roman" w:eastAsia="바탕" w:hAnsi="Times New Roman" w:cs="Times New Roman"/>
          <w:sz w:val="26"/>
          <w:szCs w:val="26"/>
        </w:rPr>
        <w:t xml:space="preserve"> real difficulty, or showing real unwillingness in constructing or accepting the existence of contracts of employment within triangular personal work relationships between temporary agency workers, employment agencies, and end-user clients, with a resultant denial to those workers of most of the key statutory employment rights which were conditioned upon the existence of a continuous contractual employment relationship.</w:t>
      </w:r>
      <w:r w:rsidR="00C46AC1">
        <w:rPr>
          <w:rStyle w:val="ae"/>
          <w:rFonts w:ascii="Times New Roman" w:eastAsia="바탕" w:hAnsi="Times New Roman" w:cs="Times New Roman"/>
          <w:sz w:val="26"/>
          <w:szCs w:val="26"/>
        </w:rPr>
        <w:footnoteReference w:id="571"/>
      </w:r>
      <w:r w:rsidR="00850401" w:rsidRPr="00257ACB">
        <w:rPr>
          <w:rFonts w:ascii="Times New Roman" w:eastAsia="바탕" w:hAnsi="Times New Roman" w:cs="Times New Roman"/>
          <w:sz w:val="26"/>
          <w:szCs w:val="26"/>
        </w:rPr>
        <w:t xml:space="preserve"> </w:t>
      </w:r>
      <w:r w:rsidR="00221EF6" w:rsidRPr="00257ACB">
        <w:rPr>
          <w:rFonts w:ascii="Times New Roman" w:eastAsia="바탕" w:hAnsi="Times New Roman" w:cs="Times New Roman"/>
          <w:sz w:val="26"/>
          <w:szCs w:val="26"/>
        </w:rPr>
        <w:t>Late in 2003, a set of Regulations was made for the reform of the regal regime governing the conduct of employment agencies</w:t>
      </w:r>
      <w:r w:rsidR="00C46AC1">
        <w:rPr>
          <w:rStyle w:val="ae"/>
          <w:rFonts w:ascii="Times New Roman" w:eastAsia="바탕" w:hAnsi="Times New Roman" w:cs="Times New Roman"/>
          <w:sz w:val="26"/>
          <w:szCs w:val="26"/>
        </w:rPr>
        <w:footnoteReference w:id="572"/>
      </w:r>
      <w:r w:rsidR="00221EF6" w:rsidRPr="00257ACB">
        <w:rPr>
          <w:rFonts w:ascii="Times New Roman" w:eastAsia="바탕" w:hAnsi="Times New Roman" w:cs="Times New Roman"/>
          <w:sz w:val="26"/>
          <w:szCs w:val="26"/>
        </w:rPr>
        <w:t>, which the government claimed would enhance the protection of agency workers.</w:t>
      </w:r>
      <w:r w:rsidR="00C46AC1">
        <w:rPr>
          <w:rStyle w:val="ae"/>
          <w:rFonts w:ascii="Times New Roman" w:eastAsia="바탕" w:hAnsi="Times New Roman" w:cs="Times New Roman"/>
          <w:sz w:val="26"/>
          <w:szCs w:val="26"/>
        </w:rPr>
        <w:footnoteReference w:id="573"/>
      </w:r>
      <w:r w:rsidR="00713733" w:rsidRPr="00257ACB">
        <w:rPr>
          <w:rFonts w:ascii="Times New Roman" w:eastAsia="바탕" w:hAnsi="Times New Roman" w:cs="Times New Roman"/>
          <w:sz w:val="26"/>
          <w:szCs w:val="26"/>
        </w:rPr>
        <w:t xml:space="preserve"> However, these Regulations were mainly concerned with issues which were rather marginal or equivocal with regard to the protection of workers, such as restricting the imposition of ‘temp-to-per fees’</w:t>
      </w:r>
      <w:r w:rsidR="00C46AC1">
        <w:rPr>
          <w:rStyle w:val="ae"/>
          <w:rFonts w:ascii="Times New Roman" w:eastAsia="바탕" w:hAnsi="Times New Roman" w:cs="Times New Roman"/>
          <w:sz w:val="26"/>
          <w:szCs w:val="26"/>
        </w:rPr>
        <w:footnoteReference w:id="574"/>
      </w:r>
      <w:r w:rsidR="00713733" w:rsidRPr="00257ACB">
        <w:rPr>
          <w:rFonts w:ascii="Times New Roman" w:eastAsia="바탕" w:hAnsi="Times New Roman" w:cs="Times New Roman"/>
          <w:sz w:val="26"/>
          <w:szCs w:val="26"/>
        </w:rPr>
        <w:t>,</w:t>
      </w:r>
      <w:r w:rsidR="00A72E48" w:rsidRPr="00257ACB">
        <w:rPr>
          <w:rFonts w:ascii="Times New Roman" w:eastAsia="바탕" w:hAnsi="Times New Roman" w:cs="Times New Roman"/>
          <w:sz w:val="26"/>
          <w:szCs w:val="26"/>
        </w:rPr>
        <w:t xml:space="preserve"> and were not at all concerned with the central worker protection issues of parity with directly employed and more permanent workers </w:t>
      </w:r>
      <w:r w:rsidR="00A72E48" w:rsidRPr="00257ACB">
        <w:rPr>
          <w:rFonts w:ascii="Times New Roman" w:eastAsia="바탕" w:hAnsi="Times New Roman" w:cs="Times New Roman"/>
          <w:sz w:val="26"/>
          <w:szCs w:val="26"/>
        </w:rPr>
        <w:lastRenderedPageBreak/>
        <w:t>or contractual employment status.</w:t>
      </w:r>
      <w:r w:rsidR="00C46AC1">
        <w:rPr>
          <w:rStyle w:val="ae"/>
          <w:rFonts w:ascii="Times New Roman" w:eastAsia="바탕" w:hAnsi="Times New Roman" w:cs="Times New Roman"/>
          <w:sz w:val="26"/>
          <w:szCs w:val="26"/>
        </w:rPr>
        <w:footnoteReference w:id="575"/>
      </w:r>
      <w:r w:rsidR="00DA3D56" w:rsidRPr="00257ACB">
        <w:rPr>
          <w:rFonts w:ascii="Times New Roman" w:eastAsia="바탕" w:hAnsi="Times New Roman" w:cs="Times New Roman"/>
          <w:sz w:val="26"/>
          <w:szCs w:val="26"/>
        </w:rPr>
        <w:t xml:space="preserve"> </w:t>
      </w:r>
      <w:r w:rsidR="00C600D8" w:rsidRPr="00257ACB">
        <w:rPr>
          <w:rFonts w:ascii="Times New Roman" w:eastAsia="바탕" w:hAnsi="Times New Roman" w:cs="Times New Roman"/>
          <w:sz w:val="26"/>
          <w:szCs w:val="26"/>
        </w:rPr>
        <w:t xml:space="preserve">It can be considered significant disjunctions between the regulatory concerns of the legal regime for employment agencies and the mainstream preoccupations of employment law because the New </w:t>
      </w:r>
      <w:proofErr w:type="spellStart"/>
      <w:r w:rsidR="00C600D8" w:rsidRPr="00257ACB">
        <w:rPr>
          <w:rFonts w:ascii="Times New Roman" w:eastAsia="바탕" w:hAnsi="Times New Roman" w:cs="Times New Roman"/>
          <w:sz w:val="26"/>
          <w:szCs w:val="26"/>
        </w:rPr>
        <w:t>Labour</w:t>
      </w:r>
      <w:proofErr w:type="spellEnd"/>
      <w:r w:rsidR="00DA3D56" w:rsidRPr="00257ACB">
        <w:rPr>
          <w:rFonts w:ascii="Times New Roman" w:eastAsia="바탕" w:hAnsi="Times New Roman" w:cs="Times New Roman"/>
          <w:sz w:val="26"/>
          <w:szCs w:val="26"/>
        </w:rPr>
        <w:t xml:space="preserve"> administration was not</w:t>
      </w:r>
      <w:r w:rsidR="005942B8" w:rsidRPr="00257ACB">
        <w:rPr>
          <w:rFonts w:ascii="Times New Roman" w:eastAsia="바탕" w:hAnsi="Times New Roman" w:cs="Times New Roman"/>
          <w:sz w:val="26"/>
          <w:szCs w:val="26"/>
        </w:rPr>
        <w:t xml:space="preserve"> prepared </w:t>
      </w:r>
      <w:r w:rsidR="00DA3D56" w:rsidRPr="00257ACB">
        <w:rPr>
          <w:rFonts w:ascii="Times New Roman" w:eastAsia="바탕" w:hAnsi="Times New Roman" w:cs="Times New Roman"/>
          <w:sz w:val="26"/>
          <w:szCs w:val="26"/>
        </w:rPr>
        <w:t xml:space="preserve">to </w:t>
      </w:r>
      <w:proofErr w:type="spellStart"/>
      <w:r w:rsidR="00DA3D56" w:rsidRPr="00257ACB">
        <w:rPr>
          <w:rFonts w:ascii="Times New Roman" w:eastAsia="바탕" w:hAnsi="Times New Roman" w:cs="Times New Roman"/>
          <w:sz w:val="26"/>
          <w:szCs w:val="26"/>
        </w:rPr>
        <w:t>recognise</w:t>
      </w:r>
      <w:proofErr w:type="spellEnd"/>
      <w:r w:rsidR="00DA3D56" w:rsidRPr="00257ACB">
        <w:rPr>
          <w:rFonts w:ascii="Times New Roman" w:eastAsia="바탕" w:hAnsi="Times New Roman" w:cs="Times New Roman"/>
          <w:sz w:val="26"/>
          <w:szCs w:val="26"/>
        </w:rPr>
        <w:t xml:space="preserve"> the extent to which the regulatory needs had been transformed in the succeeding thirty years by the enormously increased and increasing use which was being made of the temporary agency form of employment</w:t>
      </w:r>
      <w:r w:rsidR="00C46AC1">
        <w:rPr>
          <w:rStyle w:val="ae"/>
          <w:rFonts w:ascii="Times New Roman" w:eastAsia="바탕" w:hAnsi="Times New Roman" w:cs="Times New Roman"/>
          <w:sz w:val="26"/>
          <w:szCs w:val="26"/>
        </w:rPr>
        <w:footnoteReference w:id="576"/>
      </w:r>
      <w:r w:rsidR="00DA3D56" w:rsidRPr="00257ACB">
        <w:rPr>
          <w:rFonts w:ascii="Times New Roman" w:eastAsia="바탕" w:hAnsi="Times New Roman" w:cs="Times New Roman"/>
          <w:sz w:val="26"/>
          <w:szCs w:val="26"/>
        </w:rPr>
        <w:t>.</w:t>
      </w:r>
      <w:r w:rsidR="000C033F" w:rsidRPr="00257ACB">
        <w:rPr>
          <w:rFonts w:ascii="Times New Roman" w:eastAsia="바탕" w:hAnsi="Times New Roman" w:cs="Times New Roman"/>
          <w:sz w:val="26"/>
          <w:szCs w:val="26"/>
        </w:rPr>
        <w:t xml:space="preserve"> </w:t>
      </w:r>
      <w:r w:rsidR="00FA498D" w:rsidRPr="00257ACB">
        <w:rPr>
          <w:rFonts w:ascii="Times New Roman" w:eastAsia="바탕" w:hAnsi="Times New Roman" w:cs="Times New Roman"/>
          <w:sz w:val="26"/>
          <w:szCs w:val="26"/>
        </w:rPr>
        <w:t xml:space="preserve">The proposals for the Temporary Agency Workers Directive ultimately received what seemed to be their quietus at the hands of a ‘Better regulation for growth and jobs’ initiative of the European Commission and this conclusion was reached during and with the encouragement of the British Presidency of the EU </w:t>
      </w:r>
      <w:r w:rsidR="00B30D17" w:rsidRPr="00257ACB">
        <w:rPr>
          <w:rFonts w:ascii="Times New Roman" w:eastAsia="바탕" w:hAnsi="Times New Roman" w:cs="Times New Roman"/>
          <w:sz w:val="26"/>
          <w:szCs w:val="26"/>
        </w:rPr>
        <w:t>in September</w:t>
      </w:r>
      <w:r w:rsidR="002D614B" w:rsidRPr="00257ACB">
        <w:rPr>
          <w:rFonts w:ascii="Times New Roman" w:eastAsia="바탕" w:hAnsi="Times New Roman" w:cs="Times New Roman"/>
          <w:sz w:val="26"/>
          <w:szCs w:val="26"/>
        </w:rPr>
        <w:t xml:space="preserve"> 2005, when the proposals were in effect set aside for re-consideration at some unspecified future time.</w:t>
      </w:r>
      <w:r w:rsidR="00C46AC1">
        <w:rPr>
          <w:rStyle w:val="ae"/>
          <w:rFonts w:ascii="Times New Roman" w:eastAsia="바탕" w:hAnsi="Times New Roman" w:cs="Times New Roman"/>
          <w:sz w:val="26"/>
          <w:szCs w:val="26"/>
        </w:rPr>
        <w:footnoteReference w:id="577"/>
      </w:r>
      <w:r w:rsidR="0031634C" w:rsidRPr="00257ACB">
        <w:rPr>
          <w:rFonts w:ascii="Times New Roman" w:eastAsia="바탕" w:hAnsi="Times New Roman" w:cs="Times New Roman"/>
          <w:sz w:val="26"/>
          <w:szCs w:val="26"/>
        </w:rPr>
        <w:t xml:space="preserve"> Furthermore, in the realm of the reform of public services and of personal work relations with the institutions of public service, a set of strongly normative intentions for the reforms was implemented and realized on quite a grand scale during this second phase of the Blair administration.</w:t>
      </w:r>
      <w:r w:rsidR="00C46AC1">
        <w:rPr>
          <w:rStyle w:val="ae"/>
          <w:rFonts w:ascii="Times New Roman" w:eastAsia="바탕" w:hAnsi="Times New Roman" w:cs="Times New Roman"/>
          <w:sz w:val="26"/>
          <w:szCs w:val="26"/>
        </w:rPr>
        <w:footnoteReference w:id="578"/>
      </w:r>
      <w:r w:rsidR="00830600" w:rsidRPr="00257ACB">
        <w:rPr>
          <w:rFonts w:ascii="Times New Roman" w:eastAsia="바탕" w:hAnsi="Times New Roman" w:cs="Times New Roman"/>
          <w:sz w:val="26"/>
          <w:szCs w:val="26"/>
        </w:rPr>
        <w:t xml:space="preserve"> </w:t>
      </w:r>
      <w:r w:rsidR="00872306" w:rsidRPr="00257ACB">
        <w:rPr>
          <w:rFonts w:ascii="Times New Roman" w:eastAsia="바탕" w:hAnsi="Times New Roman" w:cs="Times New Roman"/>
          <w:sz w:val="26"/>
          <w:szCs w:val="26"/>
        </w:rPr>
        <w:t xml:space="preserve">There was a set of intentions for imposing a certain mode or style of personal work relations within the public service sector of the </w:t>
      </w:r>
      <w:proofErr w:type="spellStart"/>
      <w:r w:rsidR="00872306" w:rsidRPr="00257ACB">
        <w:rPr>
          <w:rFonts w:ascii="Times New Roman" w:eastAsia="바탕" w:hAnsi="Times New Roman" w:cs="Times New Roman"/>
          <w:sz w:val="26"/>
          <w:szCs w:val="26"/>
        </w:rPr>
        <w:t>labour</w:t>
      </w:r>
      <w:proofErr w:type="spellEnd"/>
      <w:r w:rsidR="00872306" w:rsidRPr="00257ACB">
        <w:rPr>
          <w:rFonts w:ascii="Times New Roman" w:eastAsia="바탕" w:hAnsi="Times New Roman" w:cs="Times New Roman"/>
          <w:sz w:val="26"/>
          <w:szCs w:val="26"/>
        </w:rPr>
        <w:t xml:space="preserve"> economy which those in government regarded as the key to what they perceived as the success and efficiency of enterprise management in the private sector, especially in the private services sector.</w:t>
      </w:r>
      <w:r w:rsidR="00C46AC1">
        <w:rPr>
          <w:rStyle w:val="ae"/>
          <w:rFonts w:ascii="Times New Roman" w:eastAsia="바탕" w:hAnsi="Times New Roman" w:cs="Times New Roman"/>
          <w:sz w:val="26"/>
          <w:szCs w:val="26"/>
        </w:rPr>
        <w:footnoteReference w:id="579"/>
      </w:r>
      <w:r w:rsidR="00606621" w:rsidRPr="00257ACB">
        <w:rPr>
          <w:rFonts w:ascii="Times New Roman" w:eastAsia="바탕" w:hAnsi="Times New Roman" w:cs="Times New Roman"/>
          <w:sz w:val="26"/>
          <w:szCs w:val="26"/>
        </w:rPr>
        <w:t xml:space="preserve"> The style of personal work relations was constructed around a certain notion or practice which may be identified as that of </w:t>
      </w:r>
      <w:r w:rsidR="00606621" w:rsidRPr="00257ACB">
        <w:rPr>
          <w:rFonts w:ascii="Times New Roman" w:eastAsia="바탕" w:hAnsi="Times New Roman" w:cs="Times New Roman"/>
          <w:i/>
          <w:sz w:val="26"/>
          <w:szCs w:val="26"/>
        </w:rPr>
        <w:t>in</w:t>
      </w:r>
      <w:r w:rsidR="00A309DC" w:rsidRPr="00257ACB">
        <w:rPr>
          <w:rFonts w:ascii="Times New Roman" w:eastAsia="바탕" w:hAnsi="Times New Roman" w:cs="Times New Roman"/>
          <w:i/>
          <w:sz w:val="26"/>
          <w:szCs w:val="26"/>
        </w:rPr>
        <w:t>di</w:t>
      </w:r>
      <w:r w:rsidR="00606621" w:rsidRPr="00257ACB">
        <w:rPr>
          <w:rFonts w:ascii="Times New Roman" w:eastAsia="바탕" w:hAnsi="Times New Roman" w:cs="Times New Roman"/>
          <w:i/>
          <w:sz w:val="26"/>
          <w:szCs w:val="26"/>
        </w:rPr>
        <w:t xml:space="preserve">vidually </w:t>
      </w:r>
      <w:proofErr w:type="spellStart"/>
      <w:r w:rsidR="00606621" w:rsidRPr="00257ACB">
        <w:rPr>
          <w:rFonts w:ascii="Times New Roman" w:eastAsia="바탕" w:hAnsi="Times New Roman" w:cs="Times New Roman"/>
          <w:i/>
          <w:sz w:val="26"/>
          <w:szCs w:val="26"/>
        </w:rPr>
        <w:t>contractualised</w:t>
      </w:r>
      <w:proofErr w:type="spellEnd"/>
      <w:r w:rsidR="00606621" w:rsidRPr="00257ACB">
        <w:rPr>
          <w:rFonts w:ascii="Times New Roman" w:eastAsia="바탕" w:hAnsi="Times New Roman" w:cs="Times New Roman"/>
          <w:i/>
          <w:sz w:val="26"/>
          <w:szCs w:val="26"/>
        </w:rPr>
        <w:t xml:space="preserve"> performance management and pay</w:t>
      </w:r>
      <w:r w:rsidR="001072D2" w:rsidRPr="00257ACB">
        <w:rPr>
          <w:rFonts w:ascii="Times New Roman" w:eastAsia="바탕" w:hAnsi="Times New Roman" w:cs="Times New Roman"/>
          <w:i/>
          <w:sz w:val="26"/>
          <w:szCs w:val="26"/>
        </w:rPr>
        <w:t xml:space="preserve"> </w:t>
      </w:r>
      <w:r w:rsidR="001072D2" w:rsidRPr="00257ACB">
        <w:rPr>
          <w:rFonts w:ascii="Times New Roman" w:eastAsia="바탕" w:hAnsi="Times New Roman" w:cs="Times New Roman"/>
          <w:sz w:val="26"/>
          <w:szCs w:val="26"/>
        </w:rPr>
        <w:t>which may strongly associated with a notion of the structural ad</w:t>
      </w:r>
      <w:r w:rsidR="00CE1185" w:rsidRPr="00257ACB">
        <w:rPr>
          <w:rFonts w:ascii="Times New Roman" w:eastAsia="바탕" w:hAnsi="Times New Roman" w:cs="Times New Roman"/>
          <w:sz w:val="26"/>
          <w:szCs w:val="26"/>
        </w:rPr>
        <w:t>a</w:t>
      </w:r>
      <w:r w:rsidR="001072D2" w:rsidRPr="00257ACB">
        <w:rPr>
          <w:rFonts w:ascii="Times New Roman" w:eastAsia="바탕" w:hAnsi="Times New Roman" w:cs="Times New Roman"/>
          <w:sz w:val="26"/>
          <w:szCs w:val="26"/>
        </w:rPr>
        <w:t>ptability and reform of enterprise management.</w:t>
      </w:r>
      <w:r w:rsidR="00C46AC1">
        <w:rPr>
          <w:rStyle w:val="ae"/>
          <w:rFonts w:ascii="Times New Roman" w:eastAsia="바탕" w:hAnsi="Times New Roman" w:cs="Times New Roman"/>
          <w:sz w:val="26"/>
          <w:szCs w:val="26"/>
        </w:rPr>
        <w:footnoteReference w:id="580"/>
      </w:r>
      <w:r w:rsidR="00CE1185" w:rsidRPr="00257ACB">
        <w:rPr>
          <w:rFonts w:ascii="Times New Roman" w:eastAsia="바탕" w:hAnsi="Times New Roman" w:cs="Times New Roman"/>
          <w:sz w:val="26"/>
          <w:szCs w:val="26"/>
        </w:rPr>
        <w:t xml:space="preserve"> The plans </w:t>
      </w:r>
      <w:r w:rsidR="00E10B56" w:rsidRPr="00257ACB">
        <w:rPr>
          <w:rFonts w:ascii="Times New Roman" w:eastAsia="바탕" w:hAnsi="Times New Roman" w:cs="Times New Roman"/>
          <w:sz w:val="26"/>
          <w:szCs w:val="26"/>
        </w:rPr>
        <w:t xml:space="preserve">for performance management and for a performance-related pay system were considered the central concept for the creation and implementation of the ‘Agenda </w:t>
      </w:r>
      <w:r w:rsidR="00E10B56" w:rsidRPr="00257ACB">
        <w:rPr>
          <w:rFonts w:ascii="Times New Roman" w:eastAsia="바탕" w:hAnsi="Times New Roman" w:cs="Times New Roman"/>
          <w:sz w:val="26"/>
          <w:szCs w:val="26"/>
        </w:rPr>
        <w:lastRenderedPageBreak/>
        <w:t>for Change’ in the National Health Service.</w:t>
      </w:r>
      <w:r w:rsidR="00C46AC1">
        <w:rPr>
          <w:rStyle w:val="ae"/>
          <w:rFonts w:ascii="Times New Roman" w:eastAsia="바탕" w:hAnsi="Times New Roman" w:cs="Times New Roman"/>
          <w:sz w:val="26"/>
          <w:szCs w:val="26"/>
        </w:rPr>
        <w:footnoteReference w:id="581"/>
      </w:r>
      <w:r w:rsidR="00E10B56" w:rsidRPr="00257ACB">
        <w:rPr>
          <w:rFonts w:ascii="Times New Roman" w:eastAsia="바탕" w:hAnsi="Times New Roman" w:cs="Times New Roman"/>
          <w:sz w:val="26"/>
          <w:szCs w:val="26"/>
        </w:rPr>
        <w:t xml:space="preserve"> There was </w:t>
      </w:r>
      <w:proofErr w:type="spellStart"/>
      <w:r w:rsidR="00E10B56" w:rsidRPr="00257ACB">
        <w:rPr>
          <w:rFonts w:ascii="Times New Roman" w:eastAsia="바탕" w:hAnsi="Times New Roman" w:cs="Times New Roman"/>
          <w:sz w:val="26"/>
          <w:szCs w:val="26"/>
        </w:rPr>
        <w:t>a</w:t>
      </w:r>
      <w:proofErr w:type="spellEnd"/>
      <w:r w:rsidR="00E10B56" w:rsidRPr="00257ACB">
        <w:rPr>
          <w:rFonts w:ascii="Times New Roman" w:eastAsia="바탕" w:hAnsi="Times New Roman" w:cs="Times New Roman"/>
          <w:sz w:val="26"/>
          <w:szCs w:val="26"/>
        </w:rPr>
        <w:t xml:space="preserve"> enormous process of organizational re-contracting was constructed, the process of creating an ‘internal market’ for healthcare within and around the National Health Service.</w:t>
      </w:r>
      <w:r w:rsidR="00C46AC1">
        <w:rPr>
          <w:rStyle w:val="ae"/>
          <w:rFonts w:ascii="Times New Roman" w:eastAsia="바탕" w:hAnsi="Times New Roman" w:cs="Times New Roman"/>
          <w:sz w:val="26"/>
          <w:szCs w:val="26"/>
        </w:rPr>
        <w:footnoteReference w:id="582"/>
      </w:r>
      <w:r w:rsidR="00A0670C" w:rsidRPr="00257ACB">
        <w:rPr>
          <w:rFonts w:ascii="Times New Roman" w:eastAsia="바탕" w:hAnsi="Times New Roman" w:cs="Times New Roman"/>
          <w:sz w:val="26"/>
          <w:szCs w:val="26"/>
        </w:rPr>
        <w:t xml:space="preserve"> The process had many various aspects including the re-contracting of personal work relations between the NHS and its doctors, especially the general </w:t>
      </w:r>
      <w:r w:rsidR="00B334A6" w:rsidRPr="00257ACB">
        <w:rPr>
          <w:rFonts w:ascii="Times New Roman" w:eastAsia="바탕" w:hAnsi="Times New Roman" w:cs="Times New Roman"/>
          <w:sz w:val="26"/>
          <w:szCs w:val="26"/>
        </w:rPr>
        <w:t>practi</w:t>
      </w:r>
      <w:r w:rsidR="00BF15C3" w:rsidRPr="00257ACB">
        <w:rPr>
          <w:rFonts w:ascii="Times New Roman" w:eastAsia="바탕" w:hAnsi="Times New Roman" w:cs="Times New Roman"/>
          <w:sz w:val="26"/>
          <w:szCs w:val="26"/>
        </w:rPr>
        <w:t>tioners, and it is sufficient to consider the ‘Agenda for Change’ as a very large-scale and paradigmatic example of the ‘</w:t>
      </w:r>
      <w:proofErr w:type="spellStart"/>
      <w:r w:rsidR="00BF15C3" w:rsidRPr="00257ACB">
        <w:rPr>
          <w:rFonts w:ascii="Times New Roman" w:eastAsia="바탕" w:hAnsi="Times New Roman" w:cs="Times New Roman"/>
          <w:sz w:val="26"/>
          <w:szCs w:val="26"/>
        </w:rPr>
        <w:t>modernisation</w:t>
      </w:r>
      <w:proofErr w:type="spellEnd"/>
      <w:r w:rsidR="00BF15C3" w:rsidRPr="00257ACB">
        <w:rPr>
          <w:rFonts w:ascii="Times New Roman" w:eastAsia="바탕" w:hAnsi="Times New Roman" w:cs="Times New Roman"/>
          <w:sz w:val="26"/>
          <w:szCs w:val="26"/>
        </w:rPr>
        <w:t xml:space="preserve">’ of a public service pay system according to the notions of performance management and performance-related incentives which were at the heart of the whole New </w:t>
      </w:r>
      <w:proofErr w:type="spellStart"/>
      <w:r w:rsidR="00BF15C3" w:rsidRPr="00257ACB">
        <w:rPr>
          <w:rFonts w:ascii="Times New Roman" w:eastAsia="바탕" w:hAnsi="Times New Roman" w:cs="Times New Roman"/>
          <w:sz w:val="26"/>
          <w:szCs w:val="26"/>
        </w:rPr>
        <w:t>Labour</w:t>
      </w:r>
      <w:proofErr w:type="spellEnd"/>
      <w:r w:rsidR="00BF15C3" w:rsidRPr="00257ACB">
        <w:rPr>
          <w:rFonts w:ascii="Times New Roman" w:eastAsia="바탕" w:hAnsi="Times New Roman" w:cs="Times New Roman"/>
          <w:sz w:val="26"/>
          <w:szCs w:val="26"/>
        </w:rPr>
        <w:t xml:space="preserve"> initiative to ‘</w:t>
      </w:r>
      <w:proofErr w:type="spellStart"/>
      <w:r w:rsidR="00BF15C3" w:rsidRPr="00257ACB">
        <w:rPr>
          <w:rFonts w:ascii="Times New Roman" w:eastAsia="바탕" w:hAnsi="Times New Roman" w:cs="Times New Roman"/>
          <w:sz w:val="26"/>
          <w:szCs w:val="26"/>
        </w:rPr>
        <w:t>modernise</w:t>
      </w:r>
      <w:proofErr w:type="spellEnd"/>
      <w:r w:rsidR="00BF15C3" w:rsidRPr="00257ACB">
        <w:rPr>
          <w:rFonts w:ascii="Times New Roman" w:eastAsia="바탕" w:hAnsi="Times New Roman" w:cs="Times New Roman"/>
          <w:sz w:val="26"/>
          <w:szCs w:val="26"/>
        </w:rPr>
        <w:t>’ public service personal work relations.</w:t>
      </w:r>
      <w:r w:rsidR="00C46AC1">
        <w:rPr>
          <w:rStyle w:val="ae"/>
          <w:rFonts w:ascii="Times New Roman" w:eastAsia="바탕" w:hAnsi="Times New Roman" w:cs="Times New Roman"/>
          <w:sz w:val="26"/>
          <w:szCs w:val="26"/>
        </w:rPr>
        <w:footnoteReference w:id="583"/>
      </w:r>
    </w:p>
    <w:p w14:paraId="33236C4D" w14:textId="1B734B6D" w:rsidR="00492996" w:rsidRPr="00257ACB" w:rsidRDefault="002F02CA" w:rsidP="00FD1F6C">
      <w:pPr>
        <w:rPr>
          <w:rFonts w:ascii="Times New Roman" w:eastAsia="바탕" w:hAnsi="Times New Roman" w:cs="Times New Roman"/>
          <w:sz w:val="26"/>
          <w:szCs w:val="26"/>
        </w:rPr>
      </w:pPr>
      <w:r w:rsidRPr="00257ACB">
        <w:rPr>
          <w:rFonts w:ascii="Times New Roman" w:eastAsia="바탕" w:hAnsi="Times New Roman" w:cs="Times New Roman"/>
          <w:sz w:val="26"/>
          <w:szCs w:val="26"/>
        </w:rPr>
        <w:t xml:space="preserve"> </w:t>
      </w:r>
    </w:p>
    <w:bookmarkEnd w:id="7"/>
    <w:p w14:paraId="7DA426E2" w14:textId="6E263612" w:rsidR="008746AC" w:rsidRDefault="008746AC" w:rsidP="00BE2C2C">
      <w:pPr>
        <w:pStyle w:val="a3"/>
        <w:numPr>
          <w:ilvl w:val="0"/>
          <w:numId w:val="7"/>
        </w:numPr>
        <w:ind w:leftChars="0"/>
        <w:rPr>
          <w:rFonts w:ascii="Times New Roman" w:hAnsi="Times New Roman" w:cs="Times New Roman"/>
          <w:sz w:val="26"/>
          <w:szCs w:val="26"/>
        </w:rPr>
      </w:pPr>
      <w:r w:rsidRPr="00257ACB">
        <w:rPr>
          <w:rFonts w:ascii="Times New Roman" w:hAnsi="Times New Roman" w:cs="Times New Roman"/>
          <w:sz w:val="26"/>
          <w:szCs w:val="26"/>
        </w:rPr>
        <w:t xml:space="preserve"> </w:t>
      </w:r>
      <w:r w:rsidR="00BE2C2C">
        <w:rPr>
          <w:rFonts w:ascii="Times New Roman" w:hAnsi="Times New Roman" w:cs="Times New Roman"/>
          <w:sz w:val="26"/>
          <w:szCs w:val="26"/>
        </w:rPr>
        <w:t>Policy consideration for</w:t>
      </w:r>
      <w:r w:rsidRPr="00257ACB">
        <w:rPr>
          <w:rFonts w:ascii="Times New Roman" w:hAnsi="Times New Roman" w:cs="Times New Roman"/>
          <w:sz w:val="26"/>
          <w:szCs w:val="26"/>
        </w:rPr>
        <w:t xml:space="preserve"> </w:t>
      </w:r>
      <w:r w:rsidR="00BE2C2C">
        <w:rPr>
          <w:rFonts w:ascii="Times New Roman" w:hAnsi="Times New Roman" w:cs="Times New Roman"/>
          <w:sz w:val="26"/>
          <w:szCs w:val="26"/>
        </w:rPr>
        <w:t xml:space="preserve">the fairness and equality focused on </w:t>
      </w:r>
      <w:proofErr w:type="spellStart"/>
      <w:r w:rsidR="00BE2C2C">
        <w:rPr>
          <w:rFonts w:ascii="Times New Roman" w:hAnsi="Times New Roman" w:cs="Times New Roman"/>
          <w:sz w:val="26"/>
          <w:szCs w:val="26"/>
        </w:rPr>
        <w:t>labour</w:t>
      </w:r>
      <w:proofErr w:type="spellEnd"/>
      <w:r w:rsidR="00BE2C2C">
        <w:rPr>
          <w:rFonts w:ascii="Times New Roman" w:hAnsi="Times New Roman" w:cs="Times New Roman"/>
          <w:sz w:val="26"/>
          <w:szCs w:val="26"/>
        </w:rPr>
        <w:t xml:space="preserve"> market issues</w:t>
      </w:r>
    </w:p>
    <w:p w14:paraId="5EE315F3" w14:textId="77777777" w:rsidR="00443C29" w:rsidRDefault="00443C29" w:rsidP="005739C4">
      <w:pPr>
        <w:pStyle w:val="a3"/>
        <w:rPr>
          <w:rFonts w:ascii="Times New Roman" w:hAnsi="Times New Roman" w:cs="Times New Roman"/>
          <w:sz w:val="26"/>
          <w:szCs w:val="26"/>
        </w:rPr>
      </w:pPr>
    </w:p>
    <w:p w14:paraId="616D7688" w14:textId="276EC0B1" w:rsidR="005739C4" w:rsidRPr="005739C4" w:rsidRDefault="008746AC" w:rsidP="00AC1ADB">
      <w:pPr>
        <w:pStyle w:val="a3"/>
        <w:spacing w:after="0"/>
        <w:ind w:leftChars="0" w:left="0"/>
        <w:rPr>
          <w:rFonts w:ascii="Times New Roman" w:hAnsi="Times New Roman" w:cs="Times New Roman"/>
          <w:sz w:val="26"/>
          <w:szCs w:val="26"/>
        </w:rPr>
      </w:pPr>
      <w:r w:rsidRPr="00257ACB">
        <w:rPr>
          <w:rFonts w:ascii="Times New Roman" w:hAnsi="Times New Roman" w:cs="Times New Roman"/>
          <w:sz w:val="26"/>
          <w:szCs w:val="26"/>
        </w:rPr>
        <w:t xml:space="preserve">As overviewed above, </w:t>
      </w:r>
      <w:r w:rsidR="009167A7" w:rsidRPr="00257ACB">
        <w:rPr>
          <w:rFonts w:ascii="Times New Roman" w:hAnsi="Times New Roman" w:cs="Times New Roman"/>
          <w:sz w:val="26"/>
          <w:szCs w:val="26"/>
        </w:rPr>
        <w:t>in its productivity and equality terms the economic output of the UK has been shown in</w:t>
      </w:r>
      <w:r w:rsidR="008354FE" w:rsidRPr="00257ACB">
        <w:rPr>
          <w:rFonts w:ascii="Times New Roman" w:hAnsi="Times New Roman" w:cs="Times New Roman"/>
          <w:sz w:val="26"/>
          <w:szCs w:val="26"/>
        </w:rPr>
        <w:t xml:space="preserve"> slight recovery based on the </w:t>
      </w:r>
      <w:r w:rsidR="00CF625C" w:rsidRPr="00257ACB">
        <w:rPr>
          <w:rFonts w:ascii="Times New Roman" w:hAnsi="Times New Roman" w:cs="Times New Roman"/>
          <w:sz w:val="26"/>
          <w:szCs w:val="26"/>
        </w:rPr>
        <w:t xml:space="preserve">employment related index published around the end of 2017. </w:t>
      </w:r>
      <w:r w:rsidR="005739C4" w:rsidRPr="005739C4">
        <w:rPr>
          <w:rFonts w:ascii="Times New Roman" w:hAnsi="Times New Roman" w:cs="Times New Roman"/>
          <w:sz w:val="26"/>
          <w:szCs w:val="26"/>
        </w:rPr>
        <w:t xml:space="preserve">In addition, the striking point is that the number of people in employment on ‘zero-hours contracts’ in their main job was little changed compared with a previous year. </w:t>
      </w:r>
      <w:r w:rsidR="005739C4">
        <w:rPr>
          <w:rFonts w:ascii="Times New Roman" w:hAnsi="Times New Roman" w:cs="Times New Roman"/>
          <w:sz w:val="26"/>
          <w:szCs w:val="26"/>
        </w:rPr>
        <w:t>Moreover,</w:t>
      </w:r>
      <w:r w:rsidR="005739C4" w:rsidRPr="005739C4">
        <w:rPr>
          <w:rFonts w:ascii="Times New Roman" w:hAnsi="Times New Roman" w:cs="Times New Roman"/>
          <w:sz w:val="26"/>
          <w:szCs w:val="26"/>
        </w:rPr>
        <w:t xml:space="preserve"> the real terms earnings for employees decreased compared with a previous year.</w:t>
      </w:r>
      <w:r w:rsidR="005739C4">
        <w:rPr>
          <w:rFonts w:ascii="Times New Roman" w:hAnsi="Times New Roman" w:cs="Times New Roman"/>
          <w:sz w:val="26"/>
          <w:szCs w:val="26"/>
        </w:rPr>
        <w:t xml:space="preserve"> </w:t>
      </w:r>
      <w:r w:rsidR="005739C4" w:rsidRPr="005739C4">
        <w:rPr>
          <w:rFonts w:ascii="Times New Roman" w:hAnsi="Times New Roman" w:cs="Times New Roman"/>
          <w:sz w:val="26"/>
          <w:szCs w:val="26"/>
        </w:rPr>
        <w:t xml:space="preserve">The most remarkable feature is that the UK has shown the historically low which means the stability of </w:t>
      </w:r>
      <w:proofErr w:type="spellStart"/>
      <w:r w:rsidR="005739C4" w:rsidRPr="005739C4">
        <w:rPr>
          <w:rFonts w:ascii="Times New Roman" w:hAnsi="Times New Roman" w:cs="Times New Roman"/>
          <w:sz w:val="26"/>
          <w:szCs w:val="26"/>
        </w:rPr>
        <w:t>labour</w:t>
      </w:r>
      <w:proofErr w:type="spellEnd"/>
      <w:r w:rsidR="005739C4" w:rsidRPr="005739C4">
        <w:rPr>
          <w:rFonts w:ascii="Times New Roman" w:hAnsi="Times New Roman" w:cs="Times New Roman"/>
          <w:sz w:val="26"/>
          <w:szCs w:val="26"/>
        </w:rPr>
        <w:t xml:space="preserve"> relations sector when it comes to the decreased working days lost and the frequency of the </w:t>
      </w:r>
      <w:proofErr w:type="spellStart"/>
      <w:r w:rsidR="005739C4" w:rsidRPr="005739C4">
        <w:rPr>
          <w:rFonts w:ascii="Times New Roman" w:hAnsi="Times New Roman" w:cs="Times New Roman"/>
          <w:sz w:val="26"/>
          <w:szCs w:val="26"/>
        </w:rPr>
        <w:t>labour</w:t>
      </w:r>
      <w:proofErr w:type="spellEnd"/>
      <w:r w:rsidR="005739C4" w:rsidRPr="005739C4">
        <w:rPr>
          <w:rFonts w:ascii="Times New Roman" w:hAnsi="Times New Roman" w:cs="Times New Roman"/>
          <w:sz w:val="26"/>
          <w:szCs w:val="26"/>
        </w:rPr>
        <w:t xml:space="preserve"> strike actions. The results of the surveys are the estimates which came from sampling surveys of households or businesses and this can impact on the interpretation of the variances in estimates. On the other hand, there have been negative reports on the levels of income inequality in the UK. In terms of income inequality, the UK has remained at a largely similar level since the early 1990s. Also Compared to the income inequality level of other European countries such as France and Germany also below the OECD average.</w:t>
      </w:r>
      <w:r w:rsidR="005739C4">
        <w:rPr>
          <w:rFonts w:ascii="Times New Roman" w:hAnsi="Times New Roman" w:cs="Times New Roman"/>
          <w:sz w:val="26"/>
          <w:szCs w:val="26"/>
        </w:rPr>
        <w:t xml:space="preserve"> On the other hand, in the </w:t>
      </w:r>
      <w:proofErr w:type="spellStart"/>
      <w:r w:rsidR="005739C4">
        <w:rPr>
          <w:rFonts w:ascii="Times New Roman" w:hAnsi="Times New Roman" w:cs="Times New Roman"/>
          <w:sz w:val="26"/>
          <w:szCs w:val="26"/>
        </w:rPr>
        <w:t>labour</w:t>
      </w:r>
      <w:proofErr w:type="spellEnd"/>
      <w:r w:rsidR="005739C4">
        <w:rPr>
          <w:rFonts w:ascii="Times New Roman" w:hAnsi="Times New Roman" w:cs="Times New Roman"/>
          <w:sz w:val="26"/>
          <w:szCs w:val="26"/>
        </w:rPr>
        <w:t xml:space="preserve"> market, in</w:t>
      </w:r>
      <w:r w:rsidR="005739C4" w:rsidRPr="005739C4">
        <w:rPr>
          <w:rFonts w:ascii="Times New Roman" w:hAnsi="Times New Roman" w:cs="Times New Roman"/>
          <w:sz w:val="26"/>
          <w:szCs w:val="26"/>
        </w:rPr>
        <w:t xml:space="preserve"> recent years, most European countries including the UK have seen various social and economic developments and particularly the need for increased flexibility by both employers and workers. ICT has played a leading role to create the new emerging forms of employment.</w:t>
      </w:r>
    </w:p>
    <w:p w14:paraId="3F692289" w14:textId="77777777" w:rsidR="005739C4" w:rsidRPr="005739C4" w:rsidRDefault="005739C4" w:rsidP="00AC1ADB">
      <w:pPr>
        <w:pStyle w:val="a3"/>
        <w:spacing w:after="0"/>
        <w:ind w:leftChars="0" w:left="0"/>
        <w:rPr>
          <w:rFonts w:ascii="Times New Roman" w:hAnsi="Times New Roman" w:cs="Times New Roman"/>
          <w:sz w:val="26"/>
          <w:szCs w:val="26"/>
        </w:rPr>
      </w:pPr>
      <w:r w:rsidRPr="005739C4">
        <w:rPr>
          <w:rFonts w:ascii="Times New Roman" w:hAnsi="Times New Roman" w:cs="Times New Roman"/>
          <w:sz w:val="26"/>
          <w:szCs w:val="26"/>
        </w:rPr>
        <w:lastRenderedPageBreak/>
        <w:t xml:space="preserve">This new driving force has been putting forward EU </w:t>
      </w:r>
      <w:proofErr w:type="spellStart"/>
      <w:r w:rsidRPr="005739C4">
        <w:rPr>
          <w:rFonts w:ascii="Times New Roman" w:hAnsi="Times New Roman" w:cs="Times New Roman"/>
          <w:sz w:val="26"/>
          <w:szCs w:val="26"/>
        </w:rPr>
        <w:t>labour</w:t>
      </w:r>
      <w:proofErr w:type="spellEnd"/>
      <w:r w:rsidRPr="005739C4">
        <w:rPr>
          <w:rFonts w:ascii="Times New Roman" w:hAnsi="Times New Roman" w:cs="Times New Roman"/>
          <w:sz w:val="26"/>
          <w:szCs w:val="26"/>
        </w:rPr>
        <w:t xml:space="preserve"> policy issues such as the specific characteristics of those new forms of employment and their impacts on working conditions and the </w:t>
      </w:r>
      <w:proofErr w:type="spellStart"/>
      <w:r w:rsidRPr="005739C4">
        <w:rPr>
          <w:rFonts w:ascii="Times New Roman" w:hAnsi="Times New Roman" w:cs="Times New Roman"/>
          <w:sz w:val="26"/>
          <w:szCs w:val="26"/>
        </w:rPr>
        <w:t>labour</w:t>
      </w:r>
      <w:proofErr w:type="spellEnd"/>
      <w:r w:rsidRPr="005739C4">
        <w:rPr>
          <w:rFonts w:ascii="Times New Roman" w:hAnsi="Times New Roman" w:cs="Times New Roman"/>
          <w:sz w:val="26"/>
          <w:szCs w:val="26"/>
        </w:rPr>
        <w:t xml:space="preserve"> market in a whole </w:t>
      </w:r>
      <w:proofErr w:type="gramStart"/>
      <w:r w:rsidRPr="005739C4">
        <w:rPr>
          <w:rFonts w:ascii="Times New Roman" w:hAnsi="Times New Roman" w:cs="Times New Roman"/>
          <w:sz w:val="26"/>
          <w:szCs w:val="26"/>
        </w:rPr>
        <w:t>and also</w:t>
      </w:r>
      <w:proofErr w:type="gramEnd"/>
      <w:r w:rsidRPr="005739C4">
        <w:rPr>
          <w:rFonts w:ascii="Times New Roman" w:hAnsi="Times New Roman" w:cs="Times New Roman"/>
          <w:sz w:val="26"/>
          <w:szCs w:val="26"/>
        </w:rPr>
        <w:t xml:space="preserve"> the whole economy.</w:t>
      </w:r>
    </w:p>
    <w:p w14:paraId="5538F2CB" w14:textId="6A3AF3AA" w:rsidR="005739C4" w:rsidRPr="005739C4" w:rsidRDefault="005739C4" w:rsidP="00AC1ADB">
      <w:pPr>
        <w:pStyle w:val="a3"/>
        <w:spacing w:after="0"/>
        <w:ind w:leftChars="0" w:left="0"/>
        <w:rPr>
          <w:rFonts w:ascii="Times New Roman" w:hAnsi="Times New Roman" w:cs="Times New Roman"/>
          <w:sz w:val="26"/>
          <w:szCs w:val="26"/>
          <w:u w:val="single"/>
        </w:rPr>
      </w:pPr>
      <w:r w:rsidRPr="005739C4">
        <w:rPr>
          <w:rFonts w:ascii="Times New Roman" w:hAnsi="Times New Roman" w:cs="Times New Roman"/>
          <w:sz w:val="26"/>
          <w:szCs w:val="26"/>
        </w:rPr>
        <w:t xml:space="preserve">While some forms of new employments can bring a positive effect, other forms of new employment would raise the concerns in regards with job security and workers protection. Some concerns arise </w:t>
      </w:r>
      <w:proofErr w:type="gramStart"/>
      <w:r w:rsidRPr="005739C4">
        <w:rPr>
          <w:rFonts w:ascii="Times New Roman" w:hAnsi="Times New Roman" w:cs="Times New Roman"/>
          <w:sz w:val="26"/>
          <w:szCs w:val="26"/>
        </w:rPr>
        <w:t>with regard to</w:t>
      </w:r>
      <w:proofErr w:type="gramEnd"/>
      <w:r w:rsidRPr="005739C4">
        <w:rPr>
          <w:rFonts w:ascii="Times New Roman" w:hAnsi="Times New Roman" w:cs="Times New Roman"/>
          <w:sz w:val="26"/>
          <w:szCs w:val="26"/>
        </w:rPr>
        <w:t xml:space="preserve"> the emergence of crowd work environment including ‘digital sweatshops’ and the leave of internal knowledge via crowdsourcing.</w:t>
      </w:r>
      <w:r>
        <w:rPr>
          <w:rFonts w:ascii="Times New Roman" w:hAnsi="Times New Roman" w:cs="Times New Roman"/>
          <w:sz w:val="26"/>
          <w:szCs w:val="26"/>
        </w:rPr>
        <w:t xml:space="preserve"> According to the results out of related research, </w:t>
      </w:r>
      <w:r w:rsidRPr="005739C4">
        <w:rPr>
          <w:rFonts w:ascii="Times New Roman" w:hAnsi="Times New Roman" w:cs="Times New Roman"/>
          <w:sz w:val="26"/>
          <w:szCs w:val="26"/>
        </w:rPr>
        <w:t>some new employment forms have potential opportunities not only for employers but also for workers. On the other hand, it can also be argued that the effects of these new employment forms would be rather limited in the job creation.</w:t>
      </w:r>
      <w:r>
        <w:rPr>
          <w:rFonts w:ascii="Times New Roman" w:hAnsi="Times New Roman" w:cs="Times New Roman"/>
          <w:sz w:val="26"/>
          <w:szCs w:val="26"/>
        </w:rPr>
        <w:t xml:space="preserve"> </w:t>
      </w:r>
      <w:r w:rsidRPr="005739C4">
        <w:rPr>
          <w:rFonts w:ascii="Times New Roman" w:hAnsi="Times New Roman" w:cs="Times New Roman"/>
          <w:sz w:val="26"/>
          <w:szCs w:val="26"/>
        </w:rPr>
        <w:t xml:space="preserve">While some forms of new employments can bring a positive effect, other forms of new employment would raise the concerns in regards with job security and workers protection. </w:t>
      </w:r>
      <w:r>
        <w:rPr>
          <w:rFonts w:ascii="Times New Roman" w:hAnsi="Times New Roman" w:cs="Times New Roman"/>
          <w:sz w:val="26"/>
          <w:szCs w:val="26"/>
        </w:rPr>
        <w:t xml:space="preserve">For example, some concerns have been raised </w:t>
      </w:r>
      <w:proofErr w:type="gramStart"/>
      <w:r>
        <w:rPr>
          <w:rFonts w:ascii="Times New Roman" w:hAnsi="Times New Roman" w:cs="Times New Roman"/>
          <w:sz w:val="26"/>
          <w:szCs w:val="26"/>
        </w:rPr>
        <w:t>with regard to</w:t>
      </w:r>
      <w:proofErr w:type="gramEnd"/>
      <w:r w:rsidRPr="005739C4">
        <w:rPr>
          <w:rFonts w:ascii="Times New Roman" w:hAnsi="Times New Roman" w:cs="Times New Roman"/>
          <w:sz w:val="26"/>
          <w:szCs w:val="26"/>
        </w:rPr>
        <w:t xml:space="preserve"> the emergence of crowd work environment including ‘digital sweatshops’ and the leave of internal knowledge via crowdsourcing.</w:t>
      </w:r>
    </w:p>
    <w:p w14:paraId="5DC15FFB" w14:textId="2F9BDC35" w:rsidR="005739C4" w:rsidRDefault="005739C4" w:rsidP="00AC1ADB">
      <w:pPr>
        <w:pStyle w:val="a3"/>
        <w:spacing w:after="0"/>
        <w:ind w:leftChars="0" w:left="0"/>
        <w:rPr>
          <w:rFonts w:ascii="Times New Roman" w:hAnsi="Times New Roman" w:cs="Times New Roman"/>
          <w:sz w:val="26"/>
          <w:szCs w:val="26"/>
        </w:rPr>
      </w:pPr>
      <w:r w:rsidRPr="005739C4">
        <w:rPr>
          <w:rFonts w:ascii="Times New Roman" w:hAnsi="Times New Roman" w:cs="Times New Roman"/>
          <w:sz w:val="26"/>
          <w:szCs w:val="26"/>
        </w:rPr>
        <w:t xml:space="preserve">Some new employment forms have potential opportunities not only for employers but also for workers. On the other hand, it can also be argued not only that the effects of these new employment forms would be rather limited in the job creation but also that those new forms of work can generate the concern of job security or job stability more than jot flexibility. </w:t>
      </w:r>
      <w:r>
        <w:rPr>
          <w:rFonts w:ascii="Times New Roman" w:hAnsi="Times New Roman" w:cs="Times New Roman"/>
          <w:sz w:val="26"/>
          <w:szCs w:val="26"/>
        </w:rPr>
        <w:t xml:space="preserve">It </w:t>
      </w:r>
      <w:r w:rsidRPr="005739C4">
        <w:rPr>
          <w:rFonts w:ascii="Times New Roman" w:hAnsi="Times New Roman" w:cs="Times New Roman"/>
          <w:sz w:val="26"/>
          <w:szCs w:val="26"/>
        </w:rPr>
        <w:t xml:space="preserve">can be said that new employment forms have some potential effects on </w:t>
      </w:r>
      <w:proofErr w:type="spellStart"/>
      <w:r w:rsidRPr="005739C4">
        <w:rPr>
          <w:rFonts w:ascii="Times New Roman" w:hAnsi="Times New Roman" w:cs="Times New Roman"/>
          <w:sz w:val="26"/>
          <w:szCs w:val="26"/>
        </w:rPr>
        <w:t>labour</w:t>
      </w:r>
      <w:proofErr w:type="spellEnd"/>
      <w:r w:rsidRPr="005739C4">
        <w:rPr>
          <w:rFonts w:ascii="Times New Roman" w:hAnsi="Times New Roman" w:cs="Times New Roman"/>
          <w:sz w:val="26"/>
          <w:szCs w:val="26"/>
        </w:rPr>
        <w:t xml:space="preserve"> market by transforming established employment relationships and work patterns. </w:t>
      </w:r>
      <w:r>
        <w:rPr>
          <w:rFonts w:ascii="Times New Roman" w:hAnsi="Times New Roman" w:cs="Times New Roman"/>
          <w:sz w:val="26"/>
          <w:szCs w:val="26"/>
        </w:rPr>
        <w:t>They</w:t>
      </w:r>
      <w:r w:rsidRPr="005739C4">
        <w:rPr>
          <w:rFonts w:ascii="Times New Roman" w:hAnsi="Times New Roman" w:cs="Times New Roman"/>
          <w:sz w:val="26"/>
          <w:szCs w:val="26"/>
        </w:rPr>
        <w:t xml:space="preserve"> can influence contractual relationships (including employer versus worker responsibilities), the general understanding of a ‘job’ (bundle of tasks versus fragmented task orientation), and the place and time of work. </w:t>
      </w:r>
      <w:r>
        <w:rPr>
          <w:rFonts w:ascii="Times New Roman" w:hAnsi="Times New Roman" w:cs="Times New Roman"/>
          <w:sz w:val="26"/>
          <w:szCs w:val="26"/>
        </w:rPr>
        <w:t>Thus,</w:t>
      </w:r>
      <w:r w:rsidRPr="005739C4">
        <w:rPr>
          <w:rFonts w:ascii="Times New Roman" w:hAnsi="Times New Roman" w:cs="Times New Roman"/>
          <w:sz w:val="26"/>
          <w:szCs w:val="26"/>
        </w:rPr>
        <w:t xml:space="preserve"> </w:t>
      </w:r>
      <w:r w:rsidR="005C3415">
        <w:rPr>
          <w:rFonts w:ascii="Times New Roman" w:hAnsi="Times New Roman" w:cs="Times New Roman"/>
          <w:sz w:val="26"/>
          <w:szCs w:val="26"/>
        </w:rPr>
        <w:t xml:space="preserve">the individual characteristics </w:t>
      </w:r>
      <w:r w:rsidR="00C775A5">
        <w:rPr>
          <w:rFonts w:ascii="Times New Roman" w:hAnsi="Times New Roman" w:cs="Times New Roman"/>
          <w:sz w:val="26"/>
          <w:szCs w:val="26"/>
        </w:rPr>
        <w:t xml:space="preserve">and the effects on the </w:t>
      </w:r>
      <w:proofErr w:type="spellStart"/>
      <w:r w:rsidR="00C775A5">
        <w:rPr>
          <w:rFonts w:ascii="Times New Roman" w:hAnsi="Times New Roman" w:cs="Times New Roman"/>
          <w:sz w:val="26"/>
          <w:szCs w:val="26"/>
        </w:rPr>
        <w:t>labour</w:t>
      </w:r>
      <w:proofErr w:type="spellEnd"/>
      <w:r w:rsidR="00C775A5">
        <w:rPr>
          <w:rFonts w:ascii="Times New Roman" w:hAnsi="Times New Roman" w:cs="Times New Roman"/>
          <w:sz w:val="26"/>
          <w:szCs w:val="26"/>
        </w:rPr>
        <w:t xml:space="preserve"> market of</w:t>
      </w:r>
      <w:r w:rsidR="005C3415">
        <w:rPr>
          <w:rFonts w:ascii="Times New Roman" w:hAnsi="Times New Roman" w:cs="Times New Roman"/>
          <w:sz w:val="26"/>
          <w:szCs w:val="26"/>
        </w:rPr>
        <w:t xml:space="preserve"> those </w:t>
      </w:r>
      <w:r w:rsidR="00C775A5">
        <w:rPr>
          <w:rFonts w:ascii="Times New Roman" w:hAnsi="Times New Roman" w:cs="Times New Roman"/>
          <w:sz w:val="26"/>
          <w:szCs w:val="26"/>
        </w:rPr>
        <w:t xml:space="preserve">new forms of work should be firstly </w:t>
      </w:r>
      <w:proofErr w:type="spellStart"/>
      <w:r w:rsidR="00C775A5">
        <w:rPr>
          <w:rFonts w:ascii="Times New Roman" w:hAnsi="Times New Roman" w:cs="Times New Roman"/>
          <w:sz w:val="26"/>
          <w:szCs w:val="26"/>
        </w:rPr>
        <w:t>analysed</w:t>
      </w:r>
      <w:proofErr w:type="spellEnd"/>
      <w:r w:rsidR="00C775A5">
        <w:rPr>
          <w:rFonts w:ascii="Times New Roman" w:hAnsi="Times New Roman" w:cs="Times New Roman"/>
          <w:sz w:val="26"/>
          <w:szCs w:val="26"/>
        </w:rPr>
        <w:t xml:space="preserve"> and then should be reviewed whether any intervention of government authority or social partners are needed to regulate those forms. On the other hand, </w:t>
      </w:r>
    </w:p>
    <w:p w14:paraId="73A8491F" w14:textId="77777777" w:rsidR="008E225C" w:rsidRDefault="00BE2C2C" w:rsidP="008E225C">
      <w:pPr>
        <w:pStyle w:val="a3"/>
        <w:spacing w:after="0"/>
        <w:ind w:leftChars="0" w:left="0"/>
        <w:rPr>
          <w:rFonts w:ascii="Times New Roman" w:hAnsi="Times New Roman" w:cs="Times New Roman"/>
          <w:sz w:val="26"/>
          <w:szCs w:val="26"/>
        </w:rPr>
      </w:pPr>
      <w:r w:rsidRPr="00BE2C2C">
        <w:rPr>
          <w:rFonts w:ascii="Times New Roman" w:hAnsi="Times New Roman" w:cs="Times New Roman"/>
          <w:sz w:val="26"/>
          <w:szCs w:val="26"/>
        </w:rPr>
        <w:t>In most new forms of work, the workers have a status somewhere between employees and self-employed in most cases.</w:t>
      </w:r>
      <w:r>
        <w:rPr>
          <w:rFonts w:ascii="Times New Roman" w:hAnsi="Times New Roman" w:cs="Times New Roman"/>
          <w:sz w:val="26"/>
          <w:szCs w:val="26"/>
        </w:rPr>
        <w:t xml:space="preserve"> To implement t</w:t>
      </w:r>
      <w:r w:rsidRPr="00BE2C2C">
        <w:rPr>
          <w:rFonts w:ascii="Times New Roman" w:hAnsi="Times New Roman" w:cs="Times New Roman"/>
          <w:sz w:val="26"/>
          <w:szCs w:val="26"/>
        </w:rPr>
        <w:t xml:space="preserve">hose new forms of works </w:t>
      </w:r>
      <w:r>
        <w:rPr>
          <w:rFonts w:ascii="Times New Roman" w:hAnsi="Times New Roman" w:cs="Times New Roman"/>
          <w:sz w:val="26"/>
          <w:szCs w:val="26"/>
        </w:rPr>
        <w:t xml:space="preserve">to be properly regulated within the scope of </w:t>
      </w:r>
      <w:proofErr w:type="spellStart"/>
      <w:r>
        <w:rPr>
          <w:rFonts w:ascii="Times New Roman" w:hAnsi="Times New Roman" w:cs="Times New Roman"/>
          <w:sz w:val="26"/>
          <w:szCs w:val="26"/>
        </w:rPr>
        <w:t>labour</w:t>
      </w:r>
      <w:proofErr w:type="spellEnd"/>
      <w:r>
        <w:rPr>
          <w:rFonts w:ascii="Times New Roman" w:hAnsi="Times New Roman" w:cs="Times New Roman"/>
          <w:sz w:val="26"/>
          <w:szCs w:val="26"/>
        </w:rPr>
        <w:t xml:space="preserve"> law, the government authority needs to not only tighten the implementation within the current regulations but also </w:t>
      </w:r>
      <w:r w:rsidR="0003568A">
        <w:rPr>
          <w:rFonts w:ascii="Times New Roman" w:hAnsi="Times New Roman" w:cs="Times New Roman"/>
          <w:sz w:val="26"/>
          <w:szCs w:val="26"/>
        </w:rPr>
        <w:t xml:space="preserve">reform the current legislation into a new flexible work form which can reflect the </w:t>
      </w:r>
      <w:r w:rsidRPr="00BE2C2C">
        <w:rPr>
          <w:rFonts w:ascii="Times New Roman" w:hAnsi="Times New Roman" w:cs="Times New Roman"/>
          <w:sz w:val="26"/>
          <w:szCs w:val="26"/>
        </w:rPr>
        <w:t xml:space="preserve">new work and </w:t>
      </w:r>
      <w:proofErr w:type="spellStart"/>
      <w:r w:rsidRPr="00BE2C2C">
        <w:rPr>
          <w:rFonts w:ascii="Times New Roman" w:hAnsi="Times New Roman" w:cs="Times New Roman"/>
          <w:sz w:val="26"/>
          <w:szCs w:val="26"/>
        </w:rPr>
        <w:t>labour</w:t>
      </w:r>
      <w:proofErr w:type="spellEnd"/>
      <w:r w:rsidRPr="00BE2C2C">
        <w:rPr>
          <w:rFonts w:ascii="Times New Roman" w:hAnsi="Times New Roman" w:cs="Times New Roman"/>
          <w:sz w:val="26"/>
          <w:szCs w:val="26"/>
        </w:rPr>
        <w:t xml:space="preserve"> relations </w:t>
      </w:r>
      <w:r w:rsidR="0003568A">
        <w:rPr>
          <w:rFonts w:ascii="Times New Roman" w:hAnsi="Times New Roman" w:cs="Times New Roman"/>
          <w:sz w:val="26"/>
          <w:szCs w:val="26"/>
        </w:rPr>
        <w:t xml:space="preserve">distinguished </w:t>
      </w:r>
      <w:r w:rsidRPr="00BE2C2C">
        <w:rPr>
          <w:rFonts w:ascii="Times New Roman" w:hAnsi="Times New Roman" w:cs="Times New Roman"/>
          <w:sz w:val="26"/>
          <w:szCs w:val="26"/>
        </w:rPr>
        <w:t>from traditional rigid contract</w:t>
      </w:r>
      <w:r w:rsidR="006B63FE">
        <w:rPr>
          <w:rFonts w:ascii="Times New Roman" w:hAnsi="Times New Roman" w:cs="Times New Roman"/>
          <w:sz w:val="26"/>
          <w:szCs w:val="26"/>
        </w:rPr>
        <w:t>-</w:t>
      </w:r>
      <w:r w:rsidR="0003568A">
        <w:rPr>
          <w:rFonts w:ascii="Times New Roman" w:hAnsi="Times New Roman" w:cs="Times New Roman"/>
          <w:sz w:val="26"/>
          <w:szCs w:val="26"/>
        </w:rPr>
        <w:t xml:space="preserve">based </w:t>
      </w:r>
      <w:r w:rsidRPr="00BE2C2C">
        <w:rPr>
          <w:rFonts w:ascii="Times New Roman" w:hAnsi="Times New Roman" w:cs="Times New Roman"/>
          <w:sz w:val="26"/>
          <w:szCs w:val="26"/>
        </w:rPr>
        <w:t>work form</w:t>
      </w:r>
      <w:r w:rsidR="0003568A">
        <w:rPr>
          <w:rFonts w:ascii="Times New Roman" w:hAnsi="Times New Roman" w:cs="Times New Roman"/>
          <w:sz w:val="26"/>
          <w:szCs w:val="26"/>
        </w:rPr>
        <w:t>.</w:t>
      </w:r>
      <w:r w:rsidR="008E225C">
        <w:rPr>
          <w:rFonts w:ascii="Times New Roman" w:hAnsi="Times New Roman" w:cs="Times New Roman"/>
          <w:sz w:val="26"/>
          <w:szCs w:val="26"/>
        </w:rPr>
        <w:t xml:space="preserve"> </w:t>
      </w:r>
    </w:p>
    <w:p w14:paraId="468AF8A7" w14:textId="16E6A91A" w:rsidR="00A92F75" w:rsidRPr="008E225C" w:rsidRDefault="006B63FE" w:rsidP="008E225C">
      <w:pPr>
        <w:pStyle w:val="a3"/>
        <w:spacing w:after="0"/>
        <w:ind w:leftChars="0" w:left="0"/>
        <w:rPr>
          <w:rFonts w:ascii="Times New Roman" w:hAnsi="Times New Roman" w:cs="Times New Roman"/>
          <w:sz w:val="26"/>
          <w:szCs w:val="26"/>
        </w:rPr>
      </w:pPr>
      <w:r>
        <w:rPr>
          <w:rFonts w:ascii="Times New Roman" w:hAnsi="Times New Roman" w:cs="Times New Roman"/>
          <w:sz w:val="26"/>
          <w:szCs w:val="26"/>
        </w:rPr>
        <w:t xml:space="preserve">As what have been overviewed, the UK has developed its own </w:t>
      </w:r>
      <w:proofErr w:type="spellStart"/>
      <w:r>
        <w:rPr>
          <w:rFonts w:ascii="Times New Roman" w:hAnsi="Times New Roman" w:cs="Times New Roman"/>
          <w:sz w:val="26"/>
          <w:szCs w:val="26"/>
        </w:rPr>
        <w:t>labour</w:t>
      </w:r>
      <w:proofErr w:type="spellEnd"/>
      <w:r>
        <w:rPr>
          <w:rFonts w:ascii="Times New Roman" w:hAnsi="Times New Roman" w:cs="Times New Roman"/>
          <w:sz w:val="26"/>
          <w:szCs w:val="26"/>
        </w:rPr>
        <w:t xml:space="preserve"> policy through its history.</w:t>
      </w:r>
      <w:r w:rsidR="008E225C">
        <w:rPr>
          <w:rFonts w:ascii="Times New Roman" w:hAnsi="Times New Roman" w:cs="Times New Roman"/>
          <w:sz w:val="26"/>
          <w:szCs w:val="26"/>
        </w:rPr>
        <w:t xml:space="preserve"> </w:t>
      </w:r>
      <w:r w:rsidR="00A92F75">
        <w:rPr>
          <w:rFonts w:ascii="Times New Roman" w:hAnsi="Times New Roman" w:cs="Times New Roman"/>
          <w:sz w:val="26"/>
          <w:szCs w:val="26"/>
        </w:rPr>
        <w:t>E</w:t>
      </w:r>
      <w:r>
        <w:rPr>
          <w:rFonts w:ascii="Times New Roman" w:hAnsi="Times New Roman" w:cs="Times New Roman"/>
          <w:sz w:val="26"/>
          <w:szCs w:val="26"/>
        </w:rPr>
        <w:t xml:space="preserve">ven during the second phase of the New </w:t>
      </w:r>
      <w:proofErr w:type="spellStart"/>
      <w:r>
        <w:rPr>
          <w:rFonts w:ascii="Times New Roman" w:hAnsi="Times New Roman" w:cs="Times New Roman"/>
          <w:sz w:val="26"/>
          <w:szCs w:val="26"/>
        </w:rPr>
        <w:t>Labour</w:t>
      </w:r>
      <w:proofErr w:type="spellEnd"/>
      <w:r>
        <w:rPr>
          <w:rFonts w:ascii="Times New Roman" w:hAnsi="Times New Roman" w:cs="Times New Roman"/>
          <w:sz w:val="26"/>
          <w:szCs w:val="26"/>
        </w:rPr>
        <w:t xml:space="preserve"> administration from </w:t>
      </w:r>
      <w:r w:rsidR="00A92F75">
        <w:rPr>
          <w:rFonts w:ascii="Times New Roman" w:hAnsi="Times New Roman" w:cs="Times New Roman"/>
          <w:sz w:val="26"/>
          <w:szCs w:val="26"/>
        </w:rPr>
        <w:t xml:space="preserve">2001 onwards, the government showed resistance to EU legislation or proposals for legislation </w:t>
      </w:r>
      <w:proofErr w:type="gramStart"/>
      <w:r w:rsidR="00A92F75">
        <w:rPr>
          <w:rFonts w:ascii="Times New Roman" w:hAnsi="Times New Roman" w:cs="Times New Roman"/>
          <w:sz w:val="26"/>
          <w:szCs w:val="26"/>
        </w:rPr>
        <w:t xml:space="preserve">with regard </w:t>
      </w:r>
      <w:r w:rsidR="008E225C">
        <w:rPr>
          <w:rFonts w:ascii="Times New Roman" w:hAnsi="Times New Roman" w:cs="Times New Roman"/>
          <w:sz w:val="26"/>
          <w:szCs w:val="26"/>
        </w:rPr>
        <w:t>to</w:t>
      </w:r>
      <w:proofErr w:type="gramEnd"/>
      <w:r w:rsidR="00A92F75">
        <w:rPr>
          <w:rFonts w:ascii="Times New Roman" w:hAnsi="Times New Roman" w:cs="Times New Roman"/>
          <w:sz w:val="26"/>
          <w:szCs w:val="26"/>
        </w:rPr>
        <w:t xml:space="preserve"> the modification of the law of personal work relations to non-standard employment such as the regulation of fixed-term work and the regulation of temporary agency work. The caution the UK government had shown was the same with the government’s response to the Part-time Work directive. Even in the </w:t>
      </w:r>
      <w:proofErr w:type="spellStart"/>
      <w:r w:rsidR="00A92F75">
        <w:rPr>
          <w:rFonts w:ascii="Times New Roman" w:hAnsi="Times New Roman" w:cs="Times New Roman"/>
          <w:sz w:val="26"/>
          <w:szCs w:val="26"/>
        </w:rPr>
        <w:t>Labour</w:t>
      </w:r>
      <w:proofErr w:type="spellEnd"/>
      <w:r w:rsidR="00A92F75">
        <w:rPr>
          <w:rFonts w:ascii="Times New Roman" w:hAnsi="Times New Roman" w:cs="Times New Roman"/>
          <w:sz w:val="26"/>
          <w:szCs w:val="26"/>
        </w:rPr>
        <w:t xml:space="preserve"> administration, the UK government adopted ‘light regulation’ and ‘minimalist’ approach when they came to the </w:t>
      </w:r>
      <w:proofErr w:type="spellStart"/>
      <w:r w:rsidR="00A92F75">
        <w:rPr>
          <w:rFonts w:ascii="Times New Roman" w:hAnsi="Times New Roman" w:cs="Times New Roman"/>
          <w:sz w:val="26"/>
          <w:szCs w:val="26"/>
        </w:rPr>
        <w:t>labour</w:t>
      </w:r>
      <w:proofErr w:type="spellEnd"/>
      <w:r w:rsidR="00A92F75">
        <w:rPr>
          <w:rFonts w:ascii="Times New Roman" w:hAnsi="Times New Roman" w:cs="Times New Roman"/>
          <w:sz w:val="26"/>
          <w:szCs w:val="26"/>
        </w:rPr>
        <w:t xml:space="preserve"> market regulation. This was mainly government aiming for the maintenance of managerial adaptability </w:t>
      </w:r>
      <w:r w:rsidR="008E225C">
        <w:rPr>
          <w:rFonts w:ascii="Times New Roman" w:hAnsi="Times New Roman" w:cs="Times New Roman"/>
          <w:sz w:val="26"/>
          <w:szCs w:val="26"/>
        </w:rPr>
        <w:t xml:space="preserve">and flexibility </w:t>
      </w:r>
      <w:r w:rsidR="008E225C">
        <w:rPr>
          <w:rFonts w:ascii="Times New Roman" w:hAnsi="Times New Roman" w:cs="Times New Roman"/>
          <w:sz w:val="26"/>
          <w:szCs w:val="26"/>
        </w:rPr>
        <w:lastRenderedPageBreak/>
        <w:t>rather than</w:t>
      </w:r>
      <w:r w:rsidR="00A92F75">
        <w:rPr>
          <w:rFonts w:ascii="Times New Roman" w:hAnsi="Times New Roman" w:cs="Times New Roman"/>
          <w:sz w:val="26"/>
          <w:szCs w:val="26"/>
        </w:rPr>
        <w:t xml:space="preserve"> </w:t>
      </w:r>
      <w:r w:rsidR="008E225C">
        <w:rPr>
          <w:rFonts w:ascii="Times New Roman" w:hAnsi="Times New Roman" w:cs="Times New Roman"/>
          <w:sz w:val="26"/>
          <w:szCs w:val="26"/>
        </w:rPr>
        <w:t xml:space="preserve">promoting equality and protection of workers in the face both of EU regulatory initiatives and domestic pressures for worker-protective legislation. </w:t>
      </w:r>
      <w:r w:rsidR="009D193E">
        <w:rPr>
          <w:rFonts w:ascii="Times New Roman" w:hAnsi="Times New Roman" w:cs="Times New Roman"/>
          <w:sz w:val="26"/>
          <w:szCs w:val="26"/>
        </w:rPr>
        <w:t xml:space="preserve">When it comes to the </w:t>
      </w:r>
      <w:proofErr w:type="spellStart"/>
      <w:r w:rsidR="009D193E">
        <w:rPr>
          <w:rFonts w:ascii="Times New Roman" w:hAnsi="Times New Roman" w:cs="Times New Roman"/>
          <w:sz w:val="26"/>
          <w:szCs w:val="26"/>
        </w:rPr>
        <w:t>labour</w:t>
      </w:r>
      <w:proofErr w:type="spellEnd"/>
      <w:r w:rsidR="009D193E">
        <w:rPr>
          <w:rFonts w:ascii="Times New Roman" w:hAnsi="Times New Roman" w:cs="Times New Roman"/>
          <w:sz w:val="26"/>
          <w:szCs w:val="26"/>
        </w:rPr>
        <w:t xml:space="preserve"> legislation, any reform measures should be designed based on the balanced interests having adjusted between conflicting interests </w:t>
      </w:r>
      <w:r w:rsidR="00E1264A">
        <w:rPr>
          <w:rFonts w:ascii="Times New Roman" w:hAnsi="Times New Roman" w:cs="Times New Roman"/>
          <w:sz w:val="26"/>
          <w:szCs w:val="26"/>
        </w:rPr>
        <w:t>mainly</w:t>
      </w:r>
      <w:r w:rsidR="009D193E">
        <w:rPr>
          <w:rFonts w:ascii="Times New Roman" w:hAnsi="Times New Roman" w:cs="Times New Roman"/>
          <w:sz w:val="26"/>
          <w:szCs w:val="26"/>
        </w:rPr>
        <w:t xml:space="preserve"> between the business and the workers</w:t>
      </w:r>
      <w:r w:rsidR="00E1264A">
        <w:rPr>
          <w:rFonts w:ascii="Times New Roman" w:hAnsi="Times New Roman" w:cs="Times New Roman"/>
          <w:sz w:val="26"/>
          <w:szCs w:val="26"/>
        </w:rPr>
        <w:t xml:space="preserve"> based on the recognition of the social economic role of </w:t>
      </w:r>
      <w:proofErr w:type="spellStart"/>
      <w:r w:rsidR="00E1264A">
        <w:rPr>
          <w:rFonts w:ascii="Times New Roman" w:hAnsi="Times New Roman" w:cs="Times New Roman"/>
          <w:sz w:val="26"/>
          <w:szCs w:val="26"/>
        </w:rPr>
        <w:t>labour</w:t>
      </w:r>
      <w:proofErr w:type="spellEnd"/>
      <w:r w:rsidR="00E1264A">
        <w:rPr>
          <w:rFonts w:ascii="Times New Roman" w:hAnsi="Times New Roman" w:cs="Times New Roman"/>
          <w:sz w:val="26"/>
          <w:szCs w:val="26"/>
        </w:rPr>
        <w:t xml:space="preserve"> </w:t>
      </w:r>
      <w:r w:rsidR="00573D80">
        <w:rPr>
          <w:rFonts w:ascii="Times New Roman" w:hAnsi="Times New Roman" w:cs="Times New Roman"/>
          <w:sz w:val="26"/>
          <w:szCs w:val="26"/>
        </w:rPr>
        <w:t xml:space="preserve">and </w:t>
      </w:r>
      <w:proofErr w:type="spellStart"/>
      <w:r w:rsidR="00573D80">
        <w:rPr>
          <w:rFonts w:ascii="Times New Roman" w:hAnsi="Times New Roman" w:cs="Times New Roman"/>
          <w:sz w:val="26"/>
          <w:szCs w:val="26"/>
        </w:rPr>
        <w:t>labour</w:t>
      </w:r>
      <w:proofErr w:type="spellEnd"/>
      <w:r w:rsidR="00573D80">
        <w:rPr>
          <w:rFonts w:ascii="Times New Roman" w:hAnsi="Times New Roman" w:cs="Times New Roman"/>
          <w:sz w:val="26"/>
          <w:szCs w:val="26"/>
        </w:rPr>
        <w:t xml:space="preserve"> market.</w:t>
      </w:r>
      <w:r w:rsidR="00781C2B">
        <w:rPr>
          <w:rFonts w:ascii="Times New Roman" w:hAnsi="Times New Roman" w:cs="Times New Roman"/>
          <w:sz w:val="26"/>
          <w:szCs w:val="26"/>
        </w:rPr>
        <w:t xml:space="preserve"> </w:t>
      </w:r>
      <w:r w:rsidR="008349B7">
        <w:rPr>
          <w:rFonts w:ascii="Times New Roman" w:hAnsi="Times New Roman" w:cs="Times New Roman"/>
          <w:sz w:val="26"/>
          <w:szCs w:val="26"/>
        </w:rPr>
        <w:t>Furthermore</w:t>
      </w:r>
      <w:r w:rsidR="00AC1ADB">
        <w:rPr>
          <w:rFonts w:ascii="Times New Roman" w:hAnsi="Times New Roman" w:cs="Times New Roman"/>
          <w:sz w:val="26"/>
          <w:szCs w:val="26"/>
        </w:rPr>
        <w:t>,</w:t>
      </w:r>
      <w:r w:rsidR="00781C2B">
        <w:rPr>
          <w:rFonts w:ascii="Times New Roman" w:hAnsi="Times New Roman" w:cs="Times New Roman"/>
          <w:sz w:val="26"/>
          <w:szCs w:val="26"/>
        </w:rPr>
        <w:t xml:space="preserve"> for the proper implementation, the consistency of the </w:t>
      </w:r>
      <w:r w:rsidR="006057B7">
        <w:rPr>
          <w:rFonts w:ascii="Times New Roman" w:hAnsi="Times New Roman" w:cs="Times New Roman"/>
          <w:sz w:val="26"/>
          <w:szCs w:val="26"/>
        </w:rPr>
        <w:t xml:space="preserve">institution and organization should be maintained </w:t>
      </w:r>
      <w:proofErr w:type="gramStart"/>
      <w:r w:rsidR="006057B7">
        <w:rPr>
          <w:rFonts w:ascii="Times New Roman" w:hAnsi="Times New Roman" w:cs="Times New Roman"/>
          <w:sz w:val="26"/>
          <w:szCs w:val="26"/>
        </w:rPr>
        <w:t xml:space="preserve">and </w:t>
      </w:r>
      <w:r w:rsidR="005B5A94">
        <w:rPr>
          <w:rFonts w:ascii="Times New Roman" w:hAnsi="Times New Roman" w:cs="Times New Roman"/>
          <w:sz w:val="26"/>
          <w:szCs w:val="26"/>
        </w:rPr>
        <w:t>also</w:t>
      </w:r>
      <w:proofErr w:type="gramEnd"/>
      <w:r w:rsidR="005B5A94">
        <w:rPr>
          <w:rFonts w:ascii="Times New Roman" w:hAnsi="Times New Roman" w:cs="Times New Roman"/>
          <w:sz w:val="26"/>
          <w:szCs w:val="26"/>
        </w:rPr>
        <w:t xml:space="preserve"> </w:t>
      </w:r>
      <w:r w:rsidR="006057B7">
        <w:rPr>
          <w:rFonts w:ascii="Times New Roman" w:hAnsi="Times New Roman" w:cs="Times New Roman"/>
          <w:sz w:val="26"/>
          <w:szCs w:val="26"/>
        </w:rPr>
        <w:t xml:space="preserve">other policy measures such as tax and benefit system should be devised to encourage the </w:t>
      </w:r>
      <w:proofErr w:type="spellStart"/>
      <w:r w:rsidR="006057B7">
        <w:rPr>
          <w:rFonts w:ascii="Times New Roman" w:hAnsi="Times New Roman" w:cs="Times New Roman"/>
          <w:sz w:val="26"/>
          <w:szCs w:val="26"/>
        </w:rPr>
        <w:t>labour</w:t>
      </w:r>
      <w:proofErr w:type="spellEnd"/>
      <w:r w:rsidR="006057B7">
        <w:rPr>
          <w:rFonts w:ascii="Times New Roman" w:hAnsi="Times New Roman" w:cs="Times New Roman"/>
          <w:sz w:val="26"/>
          <w:szCs w:val="26"/>
        </w:rPr>
        <w:t xml:space="preserve"> inclusion to the market and the improvement of income inequality.</w:t>
      </w:r>
    </w:p>
    <w:p w14:paraId="722F74CF" w14:textId="77777777" w:rsidR="00140C71" w:rsidRPr="00257ACB" w:rsidRDefault="00140C71" w:rsidP="008E225C">
      <w:pPr>
        <w:spacing w:after="0"/>
        <w:rPr>
          <w:rFonts w:ascii="Times New Roman" w:hAnsi="Times New Roman" w:cs="Times New Roman"/>
          <w:sz w:val="26"/>
          <w:szCs w:val="26"/>
        </w:rPr>
      </w:pPr>
    </w:p>
    <w:sectPr w:rsidR="00140C71" w:rsidRPr="00257ACB" w:rsidSect="00D84E04">
      <w:footerReference w:type="default" r:id="rId8"/>
      <w:pgSz w:w="11906" w:h="16838"/>
      <w:pgMar w:top="1440" w:right="1080" w:bottom="1440" w:left="108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860A33" w14:textId="77777777" w:rsidR="00CB7520" w:rsidRDefault="00CB7520">
      <w:pPr>
        <w:spacing w:after="0" w:line="240" w:lineRule="auto"/>
      </w:pPr>
      <w:r>
        <w:separator/>
      </w:r>
    </w:p>
  </w:endnote>
  <w:endnote w:type="continuationSeparator" w:id="0">
    <w:p w14:paraId="6D714669" w14:textId="77777777" w:rsidR="00CB7520" w:rsidRDefault="00CB75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바탕">
    <w:altName w:val="Batang"/>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4125224"/>
      <w:docPartObj>
        <w:docPartGallery w:val="Page Numbers (Bottom of Page)"/>
        <w:docPartUnique/>
      </w:docPartObj>
    </w:sdtPr>
    <w:sdtContent>
      <w:p w14:paraId="5E1FF496" w14:textId="42D201D3" w:rsidR="009F17EB" w:rsidRDefault="009F17EB">
        <w:pPr>
          <w:pStyle w:val="a5"/>
        </w:pPr>
        <w:r>
          <w:fldChar w:fldCharType="begin"/>
        </w:r>
        <w:r>
          <w:instrText>PAGE   \* MERGEFORMAT</w:instrText>
        </w:r>
        <w:r>
          <w:fldChar w:fldCharType="separate"/>
        </w:r>
        <w:r>
          <w:rPr>
            <w:lang w:val="ko-KR"/>
          </w:rPr>
          <w:t>2</w:t>
        </w:r>
        <w:r>
          <w:fldChar w:fldCharType="end"/>
        </w:r>
      </w:p>
    </w:sdtContent>
  </w:sdt>
  <w:p w14:paraId="66582B9D" w14:textId="77777777" w:rsidR="009F17EB" w:rsidRDefault="009F17E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40F397" w14:textId="77777777" w:rsidR="00CB7520" w:rsidRDefault="00CB7520">
      <w:pPr>
        <w:spacing w:after="0" w:line="240" w:lineRule="auto"/>
      </w:pPr>
      <w:r>
        <w:separator/>
      </w:r>
    </w:p>
  </w:footnote>
  <w:footnote w:type="continuationSeparator" w:id="0">
    <w:p w14:paraId="36E9F347" w14:textId="77777777" w:rsidR="00CB7520" w:rsidRDefault="00CB7520">
      <w:pPr>
        <w:spacing w:after="0" w:line="240" w:lineRule="auto"/>
      </w:pPr>
      <w:r>
        <w:continuationSeparator/>
      </w:r>
    </w:p>
  </w:footnote>
  <w:footnote w:id="1">
    <w:p w14:paraId="47D620CA" w14:textId="405D80B0" w:rsidR="00C13AFA" w:rsidRDefault="00C13AFA">
      <w:pPr>
        <w:pStyle w:val="ad"/>
      </w:pPr>
      <w:r>
        <w:rPr>
          <w:rStyle w:val="ae"/>
        </w:rPr>
        <w:footnoteRef/>
      </w:r>
      <w:r>
        <w:t xml:space="preserve"> Office for National Statistics, UK </w:t>
      </w:r>
      <w:proofErr w:type="spellStart"/>
      <w:r>
        <w:t>labour</w:t>
      </w:r>
      <w:proofErr w:type="spellEnd"/>
      <w:r>
        <w:t xml:space="preserve"> market: February 2018 Estimates of employment, unemployment, economic inactivity and other employment-related statistics for the UK, released on 21 February 2018, p. 2</w:t>
      </w:r>
    </w:p>
  </w:footnote>
  <w:footnote w:id="2">
    <w:p w14:paraId="6064B8E9" w14:textId="0921C7AD" w:rsidR="00C13AFA" w:rsidRDefault="00C13AFA">
      <w:pPr>
        <w:pStyle w:val="ad"/>
      </w:pPr>
      <w:r>
        <w:rPr>
          <w:rStyle w:val="ae"/>
        </w:rPr>
        <w:footnoteRef/>
      </w:r>
      <w:r>
        <w:t xml:space="preserve"> Office for National Statistics, UK </w:t>
      </w:r>
      <w:proofErr w:type="spellStart"/>
      <w:r>
        <w:t>labour</w:t>
      </w:r>
      <w:proofErr w:type="spellEnd"/>
      <w:r>
        <w:t xml:space="preserve"> market: February 2018 Estimates of employment, unemployment, economic inactivity and other employment-related statistics for the UK, released on 21 February 2018, p. 2</w:t>
      </w:r>
    </w:p>
  </w:footnote>
  <w:footnote w:id="3">
    <w:p w14:paraId="5D78F97E" w14:textId="6A17F4E5" w:rsidR="00C13AFA" w:rsidRDefault="00C13AFA">
      <w:pPr>
        <w:pStyle w:val="ad"/>
      </w:pPr>
      <w:r>
        <w:rPr>
          <w:rStyle w:val="ae"/>
        </w:rPr>
        <w:footnoteRef/>
      </w:r>
      <w:r>
        <w:t xml:space="preserve"> Office for National Statistics, UK </w:t>
      </w:r>
      <w:proofErr w:type="spellStart"/>
      <w:r>
        <w:t>labour</w:t>
      </w:r>
      <w:proofErr w:type="spellEnd"/>
      <w:r>
        <w:t xml:space="preserve"> market: February 2018 Estimates of employment, unemployment, economic inactivity and other employment-related statistics for the UK, released on 21 February 2018, p. 8</w:t>
      </w:r>
    </w:p>
  </w:footnote>
  <w:footnote w:id="4">
    <w:p w14:paraId="07C468E1" w14:textId="20BCC631" w:rsidR="00C13AFA" w:rsidRPr="006F2E4E" w:rsidRDefault="00C13AFA" w:rsidP="006F2E4E">
      <w:pPr>
        <w:pStyle w:val="a7"/>
      </w:pPr>
      <w:r>
        <w:rPr>
          <w:rStyle w:val="ae"/>
        </w:rPr>
        <w:footnoteRef/>
      </w:r>
      <w:r>
        <w:t xml:space="preserve"> Office for National Statistics, UK </w:t>
      </w:r>
      <w:proofErr w:type="spellStart"/>
      <w:r>
        <w:t>labour</w:t>
      </w:r>
      <w:proofErr w:type="spellEnd"/>
      <w:r>
        <w:t xml:space="preserve"> market: February 2018 Estimates of employment, unemployment, economic inactivity and other employment-related statistics for the UK, released on 21 February 2018, p. 2</w:t>
      </w:r>
    </w:p>
  </w:footnote>
  <w:footnote w:id="5">
    <w:p w14:paraId="4862194D" w14:textId="7843F6C5" w:rsidR="00C13AFA" w:rsidRDefault="00C13AFA">
      <w:pPr>
        <w:pStyle w:val="ad"/>
      </w:pPr>
      <w:r>
        <w:rPr>
          <w:rStyle w:val="ae"/>
        </w:rPr>
        <w:footnoteRef/>
      </w:r>
      <w:r>
        <w:t xml:space="preserve"> </w:t>
      </w:r>
      <w:r w:rsidRPr="006F2E4E">
        <w:t xml:space="preserve">Office for National Statistics, UK </w:t>
      </w:r>
      <w:proofErr w:type="spellStart"/>
      <w:r w:rsidRPr="006F2E4E">
        <w:t>labour</w:t>
      </w:r>
      <w:proofErr w:type="spellEnd"/>
      <w:r w:rsidRPr="006F2E4E">
        <w:t xml:space="preserve"> market: February 2018 Estimates of employment, unemployment, economic inactivity and other employment-related statistics for the UK, released on 21 February 2018, p. 2</w:t>
      </w:r>
    </w:p>
  </w:footnote>
  <w:footnote w:id="6">
    <w:p w14:paraId="5DD420D2" w14:textId="18A6BB75" w:rsidR="00C13AFA" w:rsidRDefault="00C13AFA">
      <w:pPr>
        <w:pStyle w:val="ad"/>
      </w:pPr>
      <w:r>
        <w:rPr>
          <w:rStyle w:val="ae"/>
        </w:rPr>
        <w:footnoteRef/>
      </w:r>
      <w:r>
        <w:t xml:space="preserve"> </w:t>
      </w:r>
      <w:r w:rsidRPr="006F2E4E">
        <w:t xml:space="preserve">Office for National Statistics, UK </w:t>
      </w:r>
      <w:proofErr w:type="spellStart"/>
      <w:r w:rsidRPr="006F2E4E">
        <w:t>labour</w:t>
      </w:r>
      <w:proofErr w:type="spellEnd"/>
      <w:r w:rsidRPr="006F2E4E">
        <w:t xml:space="preserve"> market: February 2018 Estimates of employment, unemployment, economic inactivity and other employment-related statistics for the UK, released on 21 February 2018, p. 15.</w:t>
      </w:r>
    </w:p>
  </w:footnote>
  <w:footnote w:id="7">
    <w:p w14:paraId="5423A28A" w14:textId="5AA5D833" w:rsidR="00C13AFA" w:rsidRDefault="00C13AFA">
      <w:pPr>
        <w:pStyle w:val="ad"/>
      </w:pPr>
      <w:r>
        <w:rPr>
          <w:rStyle w:val="ae"/>
        </w:rPr>
        <w:footnoteRef/>
      </w:r>
      <w:r>
        <w:t xml:space="preserve"> </w:t>
      </w:r>
      <w:r w:rsidRPr="006F2E4E">
        <w:t xml:space="preserve">Office for National Statistics, UK </w:t>
      </w:r>
      <w:proofErr w:type="spellStart"/>
      <w:r w:rsidRPr="006F2E4E">
        <w:t>labour</w:t>
      </w:r>
      <w:proofErr w:type="spellEnd"/>
      <w:r w:rsidRPr="006F2E4E">
        <w:t xml:space="preserve"> market: February 2018 Estimates of employment, unemployment, economic inactivity and other employment-related statistics for the UK, released on 21 February 2018, p. 9.</w:t>
      </w:r>
    </w:p>
  </w:footnote>
  <w:footnote w:id="8">
    <w:p w14:paraId="7D5D17D7" w14:textId="77A32741" w:rsidR="00C13AFA" w:rsidRDefault="00C13AFA">
      <w:pPr>
        <w:pStyle w:val="ad"/>
      </w:pPr>
      <w:r>
        <w:rPr>
          <w:rStyle w:val="ae"/>
        </w:rPr>
        <w:footnoteRef/>
      </w:r>
      <w:r>
        <w:t xml:space="preserve"> </w:t>
      </w:r>
      <w:r w:rsidRPr="006F2E4E">
        <w:t xml:space="preserve">Office for National Statistics, UK </w:t>
      </w:r>
      <w:proofErr w:type="spellStart"/>
      <w:r w:rsidRPr="006F2E4E">
        <w:t>labour</w:t>
      </w:r>
      <w:proofErr w:type="spellEnd"/>
      <w:r w:rsidRPr="006F2E4E">
        <w:t xml:space="preserve"> market: February 2018 Estimates of employment, unemployment, economic inactivity and other employment-related statistics for the UK, released on 21 February 2018, p. 12.</w:t>
      </w:r>
    </w:p>
  </w:footnote>
  <w:footnote w:id="9">
    <w:p w14:paraId="0C73833C" w14:textId="644240AF" w:rsidR="00C13AFA" w:rsidRDefault="00C13AFA">
      <w:pPr>
        <w:pStyle w:val="ad"/>
      </w:pPr>
      <w:r>
        <w:rPr>
          <w:rStyle w:val="ae"/>
        </w:rPr>
        <w:footnoteRef/>
      </w:r>
      <w:r>
        <w:t xml:space="preserve"> </w:t>
      </w:r>
      <w:r w:rsidRPr="006F2E4E">
        <w:t xml:space="preserve">Office for National Statistics, UK </w:t>
      </w:r>
      <w:proofErr w:type="spellStart"/>
      <w:r w:rsidRPr="006F2E4E">
        <w:t>labour</w:t>
      </w:r>
      <w:proofErr w:type="spellEnd"/>
      <w:r w:rsidRPr="006F2E4E">
        <w:t xml:space="preserve"> market: February 2018 Estimates of employment, unemployment, economic inactivity and other employment-related statistics for the UK, released on 21 February 2018, p. 14.</w:t>
      </w:r>
    </w:p>
  </w:footnote>
  <w:footnote w:id="10">
    <w:p w14:paraId="1BC0AB57" w14:textId="254AD962" w:rsidR="00C13AFA" w:rsidRDefault="00C13AFA">
      <w:pPr>
        <w:pStyle w:val="ad"/>
      </w:pPr>
      <w:r>
        <w:rPr>
          <w:rStyle w:val="ae"/>
        </w:rPr>
        <w:footnoteRef/>
      </w:r>
      <w:r>
        <w:t xml:space="preserve"> </w:t>
      </w:r>
      <w:r w:rsidRPr="006F2E4E">
        <w:t xml:space="preserve">Office for National Statistics, UK </w:t>
      </w:r>
      <w:proofErr w:type="spellStart"/>
      <w:r w:rsidRPr="006F2E4E">
        <w:t>labour</w:t>
      </w:r>
      <w:proofErr w:type="spellEnd"/>
      <w:r w:rsidRPr="006F2E4E">
        <w:t xml:space="preserve"> market: February 2018 Estimates of employment, unemployment, economic inactivity and other employment-related statistics for the UK, released on 21 February 2018, p. 18.</w:t>
      </w:r>
    </w:p>
  </w:footnote>
  <w:footnote w:id="11">
    <w:p w14:paraId="1B558393" w14:textId="530C4230" w:rsidR="00C13AFA" w:rsidRDefault="00C13AFA">
      <w:pPr>
        <w:pStyle w:val="ad"/>
      </w:pPr>
      <w:r>
        <w:rPr>
          <w:rStyle w:val="ae"/>
        </w:rPr>
        <w:footnoteRef/>
      </w:r>
      <w:r>
        <w:t xml:space="preserve"> </w:t>
      </w:r>
      <w:r w:rsidRPr="006F2E4E">
        <w:t xml:space="preserve">Office for National Statistics, UK </w:t>
      </w:r>
      <w:proofErr w:type="spellStart"/>
      <w:r w:rsidRPr="006F2E4E">
        <w:t>labour</w:t>
      </w:r>
      <w:proofErr w:type="spellEnd"/>
      <w:r w:rsidRPr="006F2E4E">
        <w:t xml:space="preserve"> market: February 2018 Estimates of employment, unemployment, economic inactivity and other employment-related statistics for the UK, released on 21 February 2018, p. 19.</w:t>
      </w:r>
    </w:p>
  </w:footnote>
  <w:footnote w:id="12">
    <w:p w14:paraId="1D8945E1" w14:textId="02CB3DC6" w:rsidR="00C13AFA" w:rsidRDefault="00C13AFA">
      <w:pPr>
        <w:pStyle w:val="ad"/>
      </w:pPr>
      <w:r>
        <w:rPr>
          <w:rStyle w:val="ae"/>
        </w:rPr>
        <w:footnoteRef/>
      </w:r>
      <w:r>
        <w:t xml:space="preserve"> </w:t>
      </w:r>
      <w:r w:rsidRPr="006F2E4E">
        <w:t xml:space="preserve">Office for National Statistics, UK </w:t>
      </w:r>
      <w:proofErr w:type="spellStart"/>
      <w:r w:rsidRPr="006F2E4E">
        <w:t>labour</w:t>
      </w:r>
      <w:proofErr w:type="spellEnd"/>
      <w:r w:rsidRPr="006F2E4E">
        <w:t xml:space="preserve"> market: February 2018 Estimates of employment, unemployment, economic inactivity and other employment-related statistics for the UK, released on 21 February 2018, p. 30.</w:t>
      </w:r>
    </w:p>
  </w:footnote>
  <w:footnote w:id="13">
    <w:p w14:paraId="584D2061" w14:textId="7FC126F9" w:rsidR="00C13AFA" w:rsidRDefault="00C13AFA">
      <w:pPr>
        <w:pStyle w:val="ad"/>
      </w:pPr>
      <w:r>
        <w:rPr>
          <w:rStyle w:val="ae"/>
        </w:rPr>
        <w:footnoteRef/>
      </w:r>
      <w:r>
        <w:t xml:space="preserve"> </w:t>
      </w:r>
      <w:r w:rsidRPr="006F2E4E">
        <w:t xml:space="preserve">Office for National Statistics, UK </w:t>
      </w:r>
      <w:proofErr w:type="spellStart"/>
      <w:r w:rsidRPr="006F2E4E">
        <w:t>labour</w:t>
      </w:r>
      <w:proofErr w:type="spellEnd"/>
      <w:r w:rsidRPr="006F2E4E">
        <w:t xml:space="preserve"> market: February 2018 Estimates of employment, unemployment, economic inactivity and other employment-related statistics for the UK, released on 21 February 2018, p. 31.</w:t>
      </w:r>
    </w:p>
  </w:footnote>
  <w:footnote w:id="14">
    <w:p w14:paraId="35449098" w14:textId="19F7E2E1" w:rsidR="00C13AFA" w:rsidRDefault="00C13AFA">
      <w:pPr>
        <w:pStyle w:val="ad"/>
      </w:pPr>
      <w:r>
        <w:rPr>
          <w:rStyle w:val="ae"/>
        </w:rPr>
        <w:footnoteRef/>
      </w:r>
      <w:r>
        <w:t xml:space="preserve"> </w:t>
      </w:r>
      <w:r w:rsidRPr="006F2E4E">
        <w:t xml:space="preserve">Office for National Statistics, UK </w:t>
      </w:r>
      <w:proofErr w:type="spellStart"/>
      <w:r w:rsidRPr="006F2E4E">
        <w:t>labour</w:t>
      </w:r>
      <w:proofErr w:type="spellEnd"/>
      <w:r w:rsidRPr="006F2E4E">
        <w:t xml:space="preserve"> market: February 2018 Estimates of employment, unemployment, economic inactivity and other employment-related statistics for the UK, released on 21 February 2018, p. 31.</w:t>
      </w:r>
    </w:p>
  </w:footnote>
  <w:footnote w:id="15">
    <w:p w14:paraId="49BDFECB" w14:textId="2EBE28A5" w:rsidR="00C13AFA" w:rsidRDefault="00C13AFA">
      <w:pPr>
        <w:pStyle w:val="ad"/>
      </w:pPr>
      <w:r>
        <w:rPr>
          <w:rStyle w:val="ae"/>
        </w:rPr>
        <w:footnoteRef/>
      </w:r>
      <w:r>
        <w:t xml:space="preserve"> </w:t>
      </w:r>
      <w:r w:rsidRPr="006F2E4E">
        <w:t xml:space="preserve">Office for National Statistics, UK </w:t>
      </w:r>
      <w:proofErr w:type="spellStart"/>
      <w:r w:rsidRPr="006F2E4E">
        <w:t>labour</w:t>
      </w:r>
      <w:proofErr w:type="spellEnd"/>
      <w:r w:rsidRPr="006F2E4E">
        <w:t xml:space="preserve"> market: February 2018 Estimates of employment, unemployment, economic inactivity and other employment-related statistics for the UK, released on 21 February 2018, p. 31.</w:t>
      </w:r>
    </w:p>
  </w:footnote>
  <w:footnote w:id="16">
    <w:p w14:paraId="589A0B69" w14:textId="44A8445E" w:rsidR="00C13AFA" w:rsidRDefault="00C13AFA">
      <w:pPr>
        <w:pStyle w:val="ad"/>
      </w:pPr>
      <w:r>
        <w:rPr>
          <w:rStyle w:val="ae"/>
        </w:rPr>
        <w:footnoteRef/>
      </w:r>
      <w:r>
        <w:t xml:space="preserve"> </w:t>
      </w:r>
      <w:r w:rsidRPr="006F2E4E">
        <w:t xml:space="preserve">Office for National Statistics, UK </w:t>
      </w:r>
      <w:proofErr w:type="spellStart"/>
      <w:r w:rsidRPr="006F2E4E">
        <w:t>labour</w:t>
      </w:r>
      <w:proofErr w:type="spellEnd"/>
      <w:r w:rsidRPr="006F2E4E">
        <w:t xml:space="preserve"> market: February 2018 Estimates of employment, unemployment, economic inactivity and other employment-related statistics for the UK, released on 21 February 2018, p. 33.</w:t>
      </w:r>
    </w:p>
  </w:footnote>
  <w:footnote w:id="17">
    <w:p w14:paraId="5D8440D0" w14:textId="18383239" w:rsidR="00C13AFA" w:rsidRPr="006F2E4E" w:rsidRDefault="00C13AFA">
      <w:pPr>
        <w:pStyle w:val="ad"/>
      </w:pPr>
      <w:r>
        <w:rPr>
          <w:rStyle w:val="ae"/>
        </w:rPr>
        <w:footnoteRef/>
      </w:r>
      <w:r>
        <w:t xml:space="preserve"> </w:t>
      </w:r>
      <w:r w:rsidRPr="006F2E4E">
        <w:t>House of Commons Library, Briefing Paper Number 7484, 2 May 2017, Income inequality in the UK, p. 3</w:t>
      </w:r>
    </w:p>
  </w:footnote>
  <w:footnote w:id="18">
    <w:p w14:paraId="7385640A" w14:textId="7526E332" w:rsidR="00C13AFA" w:rsidRDefault="00C13AFA">
      <w:pPr>
        <w:pStyle w:val="ad"/>
      </w:pPr>
      <w:r>
        <w:rPr>
          <w:rStyle w:val="ae"/>
        </w:rPr>
        <w:footnoteRef/>
      </w:r>
      <w:r>
        <w:t xml:space="preserve"> </w:t>
      </w:r>
      <w:r w:rsidRPr="006F2E4E">
        <w:t>House of Commons Library, Briefing Paper Number 7484, 2 May 2017, Income inequality in the UK, p. 3</w:t>
      </w:r>
    </w:p>
  </w:footnote>
  <w:footnote w:id="19">
    <w:p w14:paraId="7F72A83C" w14:textId="7753E826" w:rsidR="00C13AFA" w:rsidRDefault="00C13AFA">
      <w:pPr>
        <w:pStyle w:val="ad"/>
      </w:pPr>
      <w:r>
        <w:rPr>
          <w:rStyle w:val="ae"/>
        </w:rPr>
        <w:footnoteRef/>
      </w:r>
      <w:r>
        <w:t xml:space="preserve"> </w:t>
      </w:r>
      <w:r w:rsidRPr="006F2E4E">
        <w:t>House of Commons Library, Briefing Paper Number 7484, 2 May 2017, Income inequality in the UK, p. 3</w:t>
      </w:r>
    </w:p>
  </w:footnote>
  <w:footnote w:id="20">
    <w:p w14:paraId="11784338" w14:textId="0A060B76" w:rsidR="00C13AFA" w:rsidRDefault="00C13AFA">
      <w:pPr>
        <w:pStyle w:val="ad"/>
      </w:pPr>
      <w:r>
        <w:rPr>
          <w:rStyle w:val="ae"/>
        </w:rPr>
        <w:footnoteRef/>
      </w:r>
      <w:r>
        <w:t xml:space="preserve"> </w:t>
      </w:r>
      <w:r w:rsidRPr="006F2E4E">
        <w:t>House of Commons Library, Briefing Paper Number 7484, 2 May 2017, Income inequality in the UK, p. 3</w:t>
      </w:r>
    </w:p>
  </w:footnote>
  <w:footnote w:id="21">
    <w:p w14:paraId="508E0BBD" w14:textId="52F6C44B" w:rsidR="00C13AFA" w:rsidRDefault="00C13AFA">
      <w:pPr>
        <w:pStyle w:val="ad"/>
      </w:pPr>
      <w:r>
        <w:rPr>
          <w:rStyle w:val="ae"/>
        </w:rPr>
        <w:footnoteRef/>
      </w:r>
      <w:r>
        <w:t xml:space="preserve"> </w:t>
      </w:r>
      <w:r w:rsidRPr="006F2E4E">
        <w:t>House of Commons Library, Briefing Paper Number 7484, 2 May 2017, Income inequality in the UK, p. 3</w:t>
      </w:r>
    </w:p>
  </w:footnote>
  <w:footnote w:id="22">
    <w:p w14:paraId="5227BD6F" w14:textId="75BD814E" w:rsidR="00C13AFA" w:rsidRDefault="00C13AFA">
      <w:pPr>
        <w:pStyle w:val="ad"/>
      </w:pPr>
      <w:r>
        <w:rPr>
          <w:rStyle w:val="ae"/>
        </w:rPr>
        <w:footnoteRef/>
      </w:r>
      <w:r>
        <w:t xml:space="preserve"> </w:t>
      </w:r>
      <w:r w:rsidRPr="00243B49">
        <w:t>ABIGAIL MCKNIGHT, MAGALI DUQUE AND MARK RUCCI, CENTRE FOR ANALYSIS OF SOCIAL EXCLUSION, LONDON SCHOOL OF ECONOMICS, DOUBLE TROUBLE, A review of the relationship between UK poverty and economic inequality, November 2017.</w:t>
      </w:r>
    </w:p>
  </w:footnote>
  <w:footnote w:id="23">
    <w:p w14:paraId="2B44EA1C" w14:textId="34445FE5" w:rsidR="00C13AFA" w:rsidRDefault="00C13AFA">
      <w:pPr>
        <w:pStyle w:val="ad"/>
      </w:pPr>
      <w:r>
        <w:rPr>
          <w:rStyle w:val="ae"/>
        </w:rPr>
        <w:footnoteRef/>
      </w:r>
      <w:r>
        <w:t xml:space="preserve"> </w:t>
      </w:r>
      <w:r w:rsidRPr="00243B49">
        <w:t>OECD, Income inequality data update and policies impacting income distribution:  United Kingdom (February 2015)</w:t>
      </w:r>
    </w:p>
  </w:footnote>
  <w:footnote w:id="24">
    <w:p w14:paraId="560B6D1C" w14:textId="40A5A218" w:rsidR="00C13AFA" w:rsidRDefault="00C13AFA">
      <w:pPr>
        <w:pStyle w:val="ad"/>
      </w:pPr>
      <w:r>
        <w:rPr>
          <w:rStyle w:val="ae"/>
        </w:rPr>
        <w:footnoteRef/>
      </w:r>
      <w:r>
        <w:t xml:space="preserve"> </w:t>
      </w:r>
      <w:r w:rsidRPr="00243B49">
        <w:t>OECD, Income inequality data update and policies impacting income distribution:  United Kingdom (February 2015)</w:t>
      </w:r>
    </w:p>
  </w:footnote>
  <w:footnote w:id="25">
    <w:p w14:paraId="1A9A13A2" w14:textId="65BE4AB6" w:rsidR="00C13AFA" w:rsidRDefault="00C13AFA">
      <w:pPr>
        <w:pStyle w:val="ad"/>
      </w:pPr>
      <w:r>
        <w:rPr>
          <w:rStyle w:val="ae"/>
        </w:rPr>
        <w:footnoteRef/>
      </w:r>
      <w:r>
        <w:t xml:space="preserve"> </w:t>
      </w:r>
      <w:r w:rsidRPr="00243B49">
        <w:t>OECD, Income inequality data update and policies impacting income distribution:  United Kingdom (February 2015)</w:t>
      </w:r>
    </w:p>
  </w:footnote>
  <w:footnote w:id="26">
    <w:p w14:paraId="4A16C283" w14:textId="4F90BE68" w:rsidR="00C13AFA" w:rsidRDefault="00C13AFA">
      <w:pPr>
        <w:pStyle w:val="ad"/>
      </w:pPr>
      <w:r>
        <w:rPr>
          <w:rStyle w:val="ae"/>
        </w:rPr>
        <w:footnoteRef/>
      </w:r>
      <w:r>
        <w:t xml:space="preserve"> </w:t>
      </w:r>
      <w:r w:rsidRPr="00243B49">
        <w:t>OECD, Income inequality data update and policies impacting income distribution:  United Kingdom (February 2015)</w:t>
      </w:r>
    </w:p>
  </w:footnote>
  <w:footnote w:id="27">
    <w:p w14:paraId="5EF6CE44" w14:textId="4735F6A1" w:rsidR="00C13AFA" w:rsidRDefault="00C13AFA">
      <w:pPr>
        <w:pStyle w:val="ad"/>
      </w:pPr>
      <w:r>
        <w:rPr>
          <w:rStyle w:val="ae"/>
        </w:rPr>
        <w:footnoteRef/>
      </w:r>
      <w:r>
        <w:t xml:space="preserve"> </w:t>
      </w:r>
      <w:r w:rsidRPr="00243B49">
        <w:t>OECD, Income inequality data update and policies impacting income distribution:  United Kingdom (February 2015)</w:t>
      </w:r>
    </w:p>
  </w:footnote>
  <w:footnote w:id="28">
    <w:p w14:paraId="794BCA37" w14:textId="2DCFF418" w:rsidR="00C13AFA" w:rsidRDefault="00C13AFA">
      <w:pPr>
        <w:pStyle w:val="ad"/>
      </w:pPr>
      <w:r>
        <w:rPr>
          <w:rStyle w:val="ae"/>
        </w:rPr>
        <w:footnoteRef/>
      </w:r>
      <w:r>
        <w:t xml:space="preserve"> </w:t>
      </w:r>
      <w:r w:rsidRPr="00243B49">
        <w:t>OECD, Income inequality data update and policies impacting income distribution:  United Kingdom (February 2015)</w:t>
      </w:r>
    </w:p>
  </w:footnote>
  <w:footnote w:id="29">
    <w:p w14:paraId="1D5121D2" w14:textId="7D0FC1E7" w:rsidR="00C13AFA" w:rsidRDefault="00C13AFA">
      <w:pPr>
        <w:pStyle w:val="ad"/>
      </w:pPr>
      <w:r>
        <w:rPr>
          <w:rStyle w:val="ae"/>
        </w:rPr>
        <w:footnoteRef/>
      </w:r>
      <w:r>
        <w:t xml:space="preserve"> </w:t>
      </w:r>
      <w:proofErr w:type="spellStart"/>
      <w:r w:rsidRPr="00243B49">
        <w:t>Eurofound</w:t>
      </w:r>
      <w:proofErr w:type="spellEnd"/>
      <w:r w:rsidRPr="00243B49">
        <w:t>, New forms of Employment (Publications Office of the European Union, Luxembourg, 2015).</w:t>
      </w:r>
    </w:p>
  </w:footnote>
  <w:footnote w:id="30">
    <w:p w14:paraId="52A6BF3A" w14:textId="2E7F1B82" w:rsidR="00C13AFA" w:rsidRDefault="00C13AFA">
      <w:pPr>
        <w:pStyle w:val="ad"/>
      </w:pPr>
      <w:r>
        <w:rPr>
          <w:rStyle w:val="ae"/>
        </w:rPr>
        <w:footnoteRef/>
      </w:r>
      <w:r>
        <w:t xml:space="preserve"> </w:t>
      </w:r>
      <w:r w:rsidRPr="00243B49">
        <w:t>Irene Mandl, chapter 1 Overview of New Forms of Employment, New Forms of Employment in Europe (Wolters Kluwer), p. 8.</w:t>
      </w:r>
    </w:p>
  </w:footnote>
  <w:footnote w:id="31">
    <w:p w14:paraId="443F4414" w14:textId="3D458A30" w:rsidR="00C13AFA" w:rsidRDefault="00C13AFA">
      <w:pPr>
        <w:pStyle w:val="ad"/>
      </w:pPr>
      <w:r>
        <w:rPr>
          <w:rStyle w:val="ae"/>
        </w:rPr>
        <w:footnoteRef/>
      </w:r>
      <w:r>
        <w:t xml:space="preserve"> </w:t>
      </w:r>
      <w:r w:rsidRPr="00243B49">
        <w:t>Irene Mandl, chapter 1 Overview of New Forms of Employment, New Forms of Employment in Europe (Wolters Kluwer), p. 8.</w:t>
      </w:r>
    </w:p>
  </w:footnote>
  <w:footnote w:id="32">
    <w:p w14:paraId="036B6892" w14:textId="75A7F72A" w:rsidR="00C13AFA" w:rsidRDefault="00C13AFA">
      <w:pPr>
        <w:pStyle w:val="ad"/>
      </w:pPr>
      <w:r>
        <w:rPr>
          <w:rStyle w:val="ae"/>
        </w:rPr>
        <w:footnoteRef/>
      </w:r>
      <w:r>
        <w:t xml:space="preserve"> </w:t>
      </w:r>
      <w:r w:rsidRPr="00243B49">
        <w:t>Irene Mandl, chapter 1 Overview of New Forms of Employment, New Forms of Employment in Europe (Wolters Kluwer), p. 9.</w:t>
      </w:r>
    </w:p>
  </w:footnote>
  <w:footnote w:id="33">
    <w:p w14:paraId="682E3075" w14:textId="3C55A6B2" w:rsidR="00C13AFA" w:rsidRDefault="00C13AFA">
      <w:pPr>
        <w:pStyle w:val="ad"/>
      </w:pPr>
      <w:r>
        <w:rPr>
          <w:rStyle w:val="ae"/>
        </w:rPr>
        <w:footnoteRef/>
      </w:r>
      <w:r>
        <w:t xml:space="preserve"> </w:t>
      </w:r>
      <w:r w:rsidRPr="00243B49">
        <w:t>Irene Mandl, chapter 1 Overview of New Forms of Employment, New Forms of Employment in Europe (Wolters Kluwer), p. 9.</w:t>
      </w:r>
    </w:p>
  </w:footnote>
  <w:footnote w:id="34">
    <w:p w14:paraId="32853A71" w14:textId="5A739101" w:rsidR="00C13AFA" w:rsidRDefault="00C13AFA">
      <w:pPr>
        <w:pStyle w:val="ad"/>
      </w:pPr>
      <w:r>
        <w:rPr>
          <w:rStyle w:val="ae"/>
        </w:rPr>
        <w:footnoteRef/>
      </w:r>
      <w:r>
        <w:t xml:space="preserve"> </w:t>
      </w:r>
      <w:r w:rsidRPr="00243B49">
        <w:t>Irene Mandl, chapter 1 Overview of New Forms of Employment, New Forms of Employment in Europe (Wolters Kluwer), p. 9.</w:t>
      </w:r>
    </w:p>
  </w:footnote>
  <w:footnote w:id="35">
    <w:p w14:paraId="7A4C38B4" w14:textId="14DD1BD7" w:rsidR="00C13AFA" w:rsidRDefault="00C13AFA">
      <w:pPr>
        <w:pStyle w:val="ad"/>
      </w:pPr>
      <w:r>
        <w:rPr>
          <w:rStyle w:val="ae"/>
        </w:rPr>
        <w:footnoteRef/>
      </w:r>
      <w:r>
        <w:t xml:space="preserve"> </w:t>
      </w:r>
      <w:r w:rsidRPr="00243B49">
        <w:t>Irene Mandl, chapter 1 Overview of New Forms of Employment, New Forms of Employment in Europe (Wolters Kluwer), p. 9.</w:t>
      </w:r>
    </w:p>
  </w:footnote>
  <w:footnote w:id="36">
    <w:p w14:paraId="0CB0E1C4" w14:textId="5B7579F5" w:rsidR="00C13AFA" w:rsidRDefault="00C13AFA">
      <w:pPr>
        <w:pStyle w:val="ad"/>
      </w:pPr>
      <w:r>
        <w:rPr>
          <w:rStyle w:val="ae"/>
        </w:rPr>
        <w:footnoteRef/>
      </w:r>
      <w:r>
        <w:t xml:space="preserve"> </w:t>
      </w:r>
      <w:r w:rsidRPr="00243B49">
        <w:t>Irene Mandl, chapter 1 Overview of New Forms of Employment, New Forms of Employment in Europe (Wolters Kluwer), p. 9.</w:t>
      </w:r>
    </w:p>
  </w:footnote>
  <w:footnote w:id="37">
    <w:p w14:paraId="39DF991A" w14:textId="5F457911" w:rsidR="00C13AFA" w:rsidRDefault="00C13AFA">
      <w:pPr>
        <w:pStyle w:val="ad"/>
      </w:pPr>
      <w:r>
        <w:rPr>
          <w:rStyle w:val="ae"/>
        </w:rPr>
        <w:footnoteRef/>
      </w:r>
      <w:r>
        <w:t xml:space="preserve"> </w:t>
      </w:r>
      <w:r w:rsidRPr="00243B49">
        <w:t>Irene Mandl, chapter 1 Overview of New Forms of Employment, New Forms of Employment in Europe (Wolters Kluwer), p. 9.</w:t>
      </w:r>
    </w:p>
  </w:footnote>
  <w:footnote w:id="38">
    <w:p w14:paraId="669A6FB5" w14:textId="28ECFDB0" w:rsidR="00C13AFA" w:rsidRDefault="00C13AFA">
      <w:pPr>
        <w:pStyle w:val="ad"/>
      </w:pPr>
      <w:r>
        <w:rPr>
          <w:rStyle w:val="ae"/>
        </w:rPr>
        <w:footnoteRef/>
      </w:r>
      <w:r>
        <w:t xml:space="preserve"> </w:t>
      </w:r>
      <w:r w:rsidRPr="00243B49">
        <w:t>Irene Mandl, chapter 1 Overview of New Forms of Employment, New Forms of Employment in Europe (Wolters Kluwer), p. 9.</w:t>
      </w:r>
    </w:p>
  </w:footnote>
  <w:footnote w:id="39">
    <w:p w14:paraId="73D029BD" w14:textId="19DC5AA4" w:rsidR="00C13AFA" w:rsidRDefault="00C13AFA">
      <w:pPr>
        <w:pStyle w:val="ad"/>
      </w:pPr>
      <w:r>
        <w:rPr>
          <w:rStyle w:val="ae"/>
        </w:rPr>
        <w:footnoteRef/>
      </w:r>
      <w:r>
        <w:t xml:space="preserve"> </w:t>
      </w:r>
      <w:r w:rsidRPr="000A4237">
        <w:t>Irene Mandl, chapter 1 Overview of New Forms of Employment, New Forms of Employment in Europe (Wolters Kluwer), p. 9.</w:t>
      </w:r>
    </w:p>
  </w:footnote>
  <w:footnote w:id="40">
    <w:p w14:paraId="00529D23" w14:textId="40F544DE" w:rsidR="00C13AFA" w:rsidRDefault="00C13AFA">
      <w:pPr>
        <w:pStyle w:val="ad"/>
      </w:pPr>
      <w:r>
        <w:rPr>
          <w:rStyle w:val="ae"/>
        </w:rPr>
        <w:footnoteRef/>
      </w:r>
      <w:r>
        <w:t xml:space="preserve"> </w:t>
      </w:r>
      <w:r w:rsidRPr="000A4237">
        <w:t>Irene Mandl, chapter 1 Overview of New Forms of Employment, New Forms of Employment in Europe (Wolters Kluwer), p. 9.</w:t>
      </w:r>
    </w:p>
  </w:footnote>
  <w:footnote w:id="41">
    <w:p w14:paraId="13B7D036" w14:textId="7E056D44" w:rsidR="00C13AFA" w:rsidRDefault="00C13AFA">
      <w:pPr>
        <w:pStyle w:val="ad"/>
      </w:pPr>
      <w:r>
        <w:rPr>
          <w:rStyle w:val="ae"/>
        </w:rPr>
        <w:footnoteRef/>
      </w:r>
      <w:r>
        <w:t xml:space="preserve"> </w:t>
      </w:r>
      <w:r w:rsidRPr="000A4237">
        <w:t>Irene Mandl, chapter 1 Overview of New Forms of Employment, New Forms of Employment in Europe (Wolters Kluwer), p. 10 -11.</w:t>
      </w:r>
    </w:p>
  </w:footnote>
  <w:footnote w:id="42">
    <w:p w14:paraId="26F69CB4" w14:textId="527785B7" w:rsidR="00C13AFA" w:rsidRDefault="00C13AFA">
      <w:pPr>
        <w:pStyle w:val="ad"/>
      </w:pPr>
      <w:r>
        <w:rPr>
          <w:rStyle w:val="ae"/>
        </w:rPr>
        <w:footnoteRef/>
      </w:r>
      <w:r>
        <w:t xml:space="preserve"> </w:t>
      </w:r>
      <w:r w:rsidRPr="000A4237">
        <w:t>Irene Mandl, chapter 1 Overview of New Forms of Employment, New Forms of Employment in Europe (Wolters Kluwer), p. 10.</w:t>
      </w:r>
    </w:p>
  </w:footnote>
  <w:footnote w:id="43">
    <w:p w14:paraId="39B38474" w14:textId="6A9CE6E9" w:rsidR="00C13AFA" w:rsidRDefault="00C13AFA">
      <w:pPr>
        <w:pStyle w:val="ad"/>
      </w:pPr>
      <w:r>
        <w:rPr>
          <w:rStyle w:val="ae"/>
        </w:rPr>
        <w:footnoteRef/>
      </w:r>
      <w:r>
        <w:t xml:space="preserve"> </w:t>
      </w:r>
      <w:r w:rsidRPr="000A4237">
        <w:t>Irene Mandl, chapter 1 Overview of New Forms of Employment, New Forms of Employment in Europe (Wolters Kluwer), p. 10.</w:t>
      </w:r>
    </w:p>
  </w:footnote>
  <w:footnote w:id="44">
    <w:p w14:paraId="091DF1CC" w14:textId="342B6EDD" w:rsidR="00C13AFA" w:rsidRDefault="00C13AFA">
      <w:pPr>
        <w:pStyle w:val="ad"/>
      </w:pPr>
      <w:r>
        <w:rPr>
          <w:rStyle w:val="ae"/>
        </w:rPr>
        <w:footnoteRef/>
      </w:r>
      <w:r>
        <w:t xml:space="preserve"> </w:t>
      </w:r>
      <w:r w:rsidRPr="00AC17F9">
        <w:t>Irene Mandl, chapter 1 Overview of New Forms of Employment, New Forms of Employment in Europe (Wolters Kluwer), p. 10.</w:t>
      </w:r>
    </w:p>
  </w:footnote>
  <w:footnote w:id="45">
    <w:p w14:paraId="2DB797C1" w14:textId="0E163486" w:rsidR="00C13AFA" w:rsidRDefault="00C13AFA">
      <w:pPr>
        <w:pStyle w:val="ad"/>
      </w:pPr>
      <w:r>
        <w:rPr>
          <w:rStyle w:val="ae"/>
        </w:rPr>
        <w:footnoteRef/>
      </w:r>
      <w:r>
        <w:t xml:space="preserve"> </w:t>
      </w:r>
      <w:r w:rsidRPr="00AC17F9">
        <w:t>Irene Mandl, chapter 1 Overview of New Forms of Employment, New Forms of Employment in Europe (Wolters Kluwer), p. 11.</w:t>
      </w:r>
    </w:p>
  </w:footnote>
  <w:footnote w:id="46">
    <w:p w14:paraId="53A4DE88" w14:textId="5CA887A0" w:rsidR="00C13AFA" w:rsidRDefault="00C13AFA">
      <w:pPr>
        <w:pStyle w:val="ad"/>
      </w:pPr>
      <w:r>
        <w:rPr>
          <w:rStyle w:val="ae"/>
        </w:rPr>
        <w:footnoteRef/>
      </w:r>
      <w:r>
        <w:t xml:space="preserve"> </w:t>
      </w:r>
      <w:r w:rsidRPr="00AC17F9">
        <w:t>Irene Mandl, chapter 1 Overview of New Forms of Employment, New Forms of Employment in Europe (Wolters Kluwer), p. 18.</w:t>
      </w:r>
    </w:p>
  </w:footnote>
  <w:footnote w:id="47">
    <w:p w14:paraId="7A8CC180" w14:textId="7F85590F" w:rsidR="00C13AFA" w:rsidRDefault="00C13AFA">
      <w:pPr>
        <w:pStyle w:val="ad"/>
      </w:pPr>
      <w:r>
        <w:rPr>
          <w:rStyle w:val="ae"/>
        </w:rPr>
        <w:footnoteRef/>
      </w:r>
      <w:r>
        <w:t xml:space="preserve"> </w:t>
      </w:r>
      <w:r w:rsidRPr="00AC17F9">
        <w:t>Irene Mandl, chapter 1 Overview of New Forms of Employment, New Forms of Employment in Europe (Wolters Kluwer), p. 18.</w:t>
      </w:r>
    </w:p>
  </w:footnote>
  <w:footnote w:id="48">
    <w:p w14:paraId="7FAF6601" w14:textId="7D705160" w:rsidR="00C13AFA" w:rsidRDefault="00C13AFA">
      <w:pPr>
        <w:pStyle w:val="ad"/>
      </w:pPr>
      <w:r>
        <w:rPr>
          <w:rStyle w:val="ae"/>
        </w:rPr>
        <w:footnoteRef/>
      </w:r>
      <w:r>
        <w:t xml:space="preserve"> </w:t>
      </w:r>
      <w:r w:rsidRPr="00AC17F9">
        <w:t>Irene Mandl, chapter 1 Overview of New Forms of Employment, New Forms of Employment in Europe (Wolters Kluwer), p. 18.</w:t>
      </w:r>
    </w:p>
  </w:footnote>
  <w:footnote w:id="49">
    <w:p w14:paraId="60DCF79B" w14:textId="2A1EC9B9" w:rsidR="00C13AFA" w:rsidRDefault="00C13AFA">
      <w:pPr>
        <w:pStyle w:val="ad"/>
      </w:pPr>
      <w:r>
        <w:rPr>
          <w:rStyle w:val="ae"/>
        </w:rPr>
        <w:footnoteRef/>
      </w:r>
      <w:r>
        <w:t xml:space="preserve"> </w:t>
      </w:r>
      <w:r w:rsidRPr="00AC17F9">
        <w:t>Irene Mandl, chapter 1 Overview of New Forms of Employment, New Forms of Employment in Europe (Wolters Kluwer), p. 18.</w:t>
      </w:r>
    </w:p>
  </w:footnote>
  <w:footnote w:id="50">
    <w:p w14:paraId="25575A95" w14:textId="08053478" w:rsidR="00C13AFA" w:rsidRDefault="00C13AFA">
      <w:pPr>
        <w:pStyle w:val="ad"/>
      </w:pPr>
      <w:r>
        <w:rPr>
          <w:rStyle w:val="ae"/>
        </w:rPr>
        <w:footnoteRef/>
      </w:r>
      <w:r>
        <w:t xml:space="preserve"> </w:t>
      </w:r>
      <w:proofErr w:type="spellStart"/>
      <w:r w:rsidRPr="00AC17F9">
        <w:t>Leimeister</w:t>
      </w:r>
      <w:proofErr w:type="spellEnd"/>
      <w:r w:rsidRPr="00AC17F9">
        <w:t xml:space="preserve">, J.M., Crowdsourcing, </w:t>
      </w:r>
      <w:proofErr w:type="spellStart"/>
      <w:r w:rsidRPr="00AC17F9">
        <w:t>Zeitschrift</w:t>
      </w:r>
      <w:proofErr w:type="spellEnd"/>
      <w:r w:rsidRPr="00AC17F9">
        <w:t xml:space="preserve"> </w:t>
      </w:r>
      <w:proofErr w:type="spellStart"/>
      <w:r w:rsidRPr="00AC17F9">
        <w:t>für</w:t>
      </w:r>
      <w:proofErr w:type="spellEnd"/>
      <w:r w:rsidRPr="00AC17F9">
        <w:t xml:space="preserve"> Controlling und Management (ZFCM), Issue 56(6), p. 388-392 (2012); </w:t>
      </w:r>
      <w:proofErr w:type="spellStart"/>
      <w:r w:rsidRPr="00AC17F9">
        <w:t>Leimeister</w:t>
      </w:r>
      <w:proofErr w:type="spellEnd"/>
      <w:r w:rsidRPr="00AC17F9">
        <w:t xml:space="preserve">, J.M. &amp; </w:t>
      </w:r>
      <w:proofErr w:type="spellStart"/>
      <w:r w:rsidRPr="00AC17F9">
        <w:t>Zogaj</w:t>
      </w:r>
      <w:proofErr w:type="spellEnd"/>
      <w:r w:rsidRPr="00AC17F9">
        <w:t xml:space="preserve">, S., Neue </w:t>
      </w:r>
      <w:proofErr w:type="spellStart"/>
      <w:r w:rsidRPr="00AC17F9">
        <w:t>Arbeitsorganisation</w:t>
      </w:r>
      <w:proofErr w:type="spellEnd"/>
      <w:r w:rsidRPr="00AC17F9">
        <w:t xml:space="preserve"> </w:t>
      </w:r>
      <w:proofErr w:type="spellStart"/>
      <w:r w:rsidRPr="00AC17F9">
        <w:t>durch</w:t>
      </w:r>
      <w:proofErr w:type="spellEnd"/>
      <w:r w:rsidRPr="00AC17F9">
        <w:t xml:space="preserve"> Crowdsourcing: Eine </w:t>
      </w:r>
      <w:proofErr w:type="spellStart"/>
      <w:r w:rsidRPr="00AC17F9">
        <w:t>Literaturstudie</w:t>
      </w:r>
      <w:proofErr w:type="spellEnd"/>
      <w:r w:rsidRPr="00AC17F9">
        <w:t xml:space="preserve"> (Düsseldorf, Hans </w:t>
      </w:r>
      <w:proofErr w:type="spellStart"/>
      <w:r w:rsidRPr="00AC17F9">
        <w:t>Böckler</w:t>
      </w:r>
      <w:proofErr w:type="spellEnd"/>
      <w:r w:rsidRPr="00AC17F9">
        <w:t xml:space="preserve"> Stiftung, 2013).</w:t>
      </w:r>
    </w:p>
  </w:footnote>
  <w:footnote w:id="51">
    <w:p w14:paraId="0A23BB05" w14:textId="119F7B7A" w:rsidR="00C13AFA" w:rsidRDefault="00C13AFA">
      <w:pPr>
        <w:pStyle w:val="ad"/>
      </w:pPr>
      <w:r>
        <w:rPr>
          <w:rStyle w:val="ae"/>
        </w:rPr>
        <w:footnoteRef/>
      </w:r>
      <w:r>
        <w:t xml:space="preserve"> </w:t>
      </w:r>
      <w:r w:rsidRPr="00AC17F9">
        <w:t>Howe, J., Crowdsourcing: Why the Power of the Crowd Is Driving the Future of Business (New York, 2008).</w:t>
      </w:r>
    </w:p>
  </w:footnote>
  <w:footnote w:id="52">
    <w:p w14:paraId="52991A49" w14:textId="45D288A4" w:rsidR="00C13AFA" w:rsidRDefault="00C13AFA">
      <w:pPr>
        <w:pStyle w:val="ad"/>
      </w:pPr>
      <w:r>
        <w:rPr>
          <w:rStyle w:val="ae"/>
        </w:rPr>
        <w:footnoteRef/>
      </w:r>
      <w:r>
        <w:t xml:space="preserve"> </w:t>
      </w:r>
      <w:proofErr w:type="spellStart"/>
      <w:r w:rsidRPr="00AC17F9">
        <w:t>Hammon</w:t>
      </w:r>
      <w:proofErr w:type="spellEnd"/>
      <w:r w:rsidRPr="00AC17F9">
        <w:t xml:space="preserve">, L. &amp; </w:t>
      </w:r>
      <w:proofErr w:type="spellStart"/>
      <w:r w:rsidRPr="00AC17F9">
        <w:t>Hippner</w:t>
      </w:r>
      <w:proofErr w:type="spellEnd"/>
      <w:r w:rsidRPr="00AC17F9">
        <w:t xml:space="preserve">, H., Crowdsourcing, </w:t>
      </w:r>
      <w:proofErr w:type="spellStart"/>
      <w:r w:rsidRPr="00AC17F9">
        <w:t>Wirtschaftsinformatik</w:t>
      </w:r>
      <w:proofErr w:type="spellEnd"/>
      <w:r w:rsidRPr="00AC17F9">
        <w:t>, Issue 54(3), p. 165-168 (2012).</w:t>
      </w:r>
    </w:p>
  </w:footnote>
  <w:footnote w:id="53">
    <w:p w14:paraId="71311CE2" w14:textId="58A66DC4" w:rsidR="00C13AFA" w:rsidRDefault="00C13AFA">
      <w:pPr>
        <w:pStyle w:val="ad"/>
      </w:pPr>
      <w:r>
        <w:rPr>
          <w:rStyle w:val="ae"/>
        </w:rPr>
        <w:footnoteRef/>
      </w:r>
      <w:r>
        <w:t xml:space="preserve"> </w:t>
      </w:r>
      <w:proofErr w:type="spellStart"/>
      <w:r w:rsidRPr="00AC17F9">
        <w:t>Zittrain</w:t>
      </w:r>
      <w:proofErr w:type="spellEnd"/>
      <w:r w:rsidRPr="00AC17F9">
        <w:t>, J., The Internet Creates a New Kind of Sweatshop, http://www.newsweek.com/internet-creates-new-kind-sweatshop-75751, 2009 (accessed on 7th March 2018)</w:t>
      </w:r>
    </w:p>
  </w:footnote>
  <w:footnote w:id="54">
    <w:p w14:paraId="509A4ACA" w14:textId="6667940C" w:rsidR="00C13AFA" w:rsidRDefault="00C13AFA">
      <w:pPr>
        <w:pStyle w:val="ad"/>
      </w:pPr>
      <w:r>
        <w:rPr>
          <w:rStyle w:val="ae"/>
        </w:rPr>
        <w:footnoteRef/>
      </w:r>
      <w:r>
        <w:t xml:space="preserve"> </w:t>
      </w:r>
      <w:r w:rsidRPr="00AC17F9">
        <w:t xml:space="preserve">Jan Marco </w:t>
      </w:r>
      <w:proofErr w:type="spellStart"/>
      <w:r w:rsidRPr="00AC17F9">
        <w:t>Leimeister</w:t>
      </w:r>
      <w:proofErr w:type="spellEnd"/>
      <w:r w:rsidRPr="00AC17F9">
        <w:t xml:space="preserve">, </w:t>
      </w:r>
      <w:proofErr w:type="spellStart"/>
      <w:r w:rsidRPr="00AC17F9">
        <w:t>Shkodran</w:t>
      </w:r>
      <w:proofErr w:type="spellEnd"/>
      <w:r w:rsidRPr="00AC17F9">
        <w:t xml:space="preserve"> </w:t>
      </w:r>
      <w:proofErr w:type="spellStart"/>
      <w:r w:rsidRPr="00AC17F9">
        <w:t>Zogaj</w:t>
      </w:r>
      <w:proofErr w:type="spellEnd"/>
      <w:r w:rsidRPr="00AC17F9">
        <w:t xml:space="preserve"> &amp; David Durward, Chapter 2. New Forms of Employment and IT: Crowdsourcing, New Forms of Employment in Europe, p. 40. (Wolters Kluwer Bulletin of Comparative </w:t>
      </w:r>
      <w:proofErr w:type="spellStart"/>
      <w:r w:rsidRPr="00AC17F9">
        <w:t>Labour</w:t>
      </w:r>
      <w:proofErr w:type="spellEnd"/>
      <w:r w:rsidRPr="00AC17F9">
        <w:t xml:space="preserve"> Relations, Vol. 94), 2016.</w:t>
      </w:r>
    </w:p>
  </w:footnote>
  <w:footnote w:id="55">
    <w:p w14:paraId="6C8D2F6E" w14:textId="16441EAB" w:rsidR="00C13AFA" w:rsidRDefault="00C13AFA">
      <w:pPr>
        <w:pStyle w:val="ad"/>
      </w:pPr>
      <w:r>
        <w:rPr>
          <w:rStyle w:val="ae"/>
        </w:rPr>
        <w:footnoteRef/>
      </w:r>
      <w:r>
        <w:t xml:space="preserve"> </w:t>
      </w:r>
      <w:r w:rsidRPr="00AC17F9">
        <w:t>Irene Mandl, chapter 1 Overview of New Forms of Employment, New Forms of Employment in Europe (Wolters Kluwer), p. 18.</w:t>
      </w:r>
    </w:p>
  </w:footnote>
  <w:footnote w:id="56">
    <w:p w14:paraId="414A9C4A" w14:textId="29752329" w:rsidR="00C13AFA" w:rsidRDefault="00C13AFA">
      <w:pPr>
        <w:pStyle w:val="ad"/>
      </w:pPr>
      <w:r>
        <w:rPr>
          <w:rStyle w:val="ae"/>
        </w:rPr>
        <w:footnoteRef/>
      </w:r>
      <w:r>
        <w:t xml:space="preserve"> </w:t>
      </w:r>
      <w:r w:rsidRPr="00AC17F9">
        <w:t>Irene Mandl, chapter 1 Overview of New Forms of Employment, New Forms of Employment in Europe (Wolters Kluwer), p. 18.</w:t>
      </w:r>
    </w:p>
  </w:footnote>
  <w:footnote w:id="57">
    <w:p w14:paraId="58C56A1D" w14:textId="27D6B26B" w:rsidR="00C13AFA" w:rsidRDefault="00C13AFA">
      <w:pPr>
        <w:pStyle w:val="ad"/>
      </w:pPr>
      <w:r>
        <w:rPr>
          <w:rStyle w:val="ae"/>
        </w:rPr>
        <w:footnoteRef/>
      </w:r>
      <w:r>
        <w:t xml:space="preserve"> </w:t>
      </w:r>
      <w:r w:rsidRPr="00AC17F9">
        <w:t>Irene Mandl, chapter 1 Overview of New Forms of Employment, New Forms of Employment in Europe (Wolters Kluwer), p. 18.</w:t>
      </w:r>
    </w:p>
  </w:footnote>
  <w:footnote w:id="58">
    <w:p w14:paraId="2C825368" w14:textId="51BD8756" w:rsidR="00C13AFA" w:rsidRDefault="00C13AFA">
      <w:pPr>
        <w:pStyle w:val="ad"/>
      </w:pPr>
      <w:r>
        <w:rPr>
          <w:rStyle w:val="ae"/>
        </w:rPr>
        <w:footnoteRef/>
      </w:r>
      <w:r>
        <w:t xml:space="preserve"> </w:t>
      </w:r>
      <w:r w:rsidRPr="00AC17F9">
        <w:t>Irene Mandl, chapter 1 Overview of New Forms of Employment, New Forms of Employment in Europe (Wolters Kluwer), p. 15.</w:t>
      </w:r>
    </w:p>
  </w:footnote>
  <w:footnote w:id="59">
    <w:p w14:paraId="5E778247" w14:textId="034598AB" w:rsidR="00C13AFA" w:rsidRDefault="00C13AFA">
      <w:pPr>
        <w:pStyle w:val="ad"/>
      </w:pPr>
      <w:r>
        <w:rPr>
          <w:rStyle w:val="ae"/>
        </w:rPr>
        <w:footnoteRef/>
      </w:r>
      <w:r>
        <w:t xml:space="preserve"> </w:t>
      </w:r>
      <w:r w:rsidRPr="00AC17F9">
        <w:t>Irene Mandl, chapter 1 Overview of New Forms of Employment, New Forms of Employment in Europe (Wolters Kluwer), p. 15.</w:t>
      </w:r>
    </w:p>
  </w:footnote>
  <w:footnote w:id="60">
    <w:p w14:paraId="4366E197" w14:textId="5F84108E" w:rsidR="00C13AFA" w:rsidRDefault="00C13AFA">
      <w:pPr>
        <w:pStyle w:val="ad"/>
      </w:pPr>
      <w:r>
        <w:rPr>
          <w:rStyle w:val="ae"/>
        </w:rPr>
        <w:footnoteRef/>
      </w:r>
      <w:r>
        <w:t xml:space="preserve"> </w:t>
      </w:r>
      <w:r w:rsidRPr="00AC17F9">
        <w:t>Irene Mandl, chapter 1 Overview of New Forms of Employment, New Forms of Employment in Europe (Wolters Kluwer), p. 15.</w:t>
      </w:r>
    </w:p>
  </w:footnote>
  <w:footnote w:id="61">
    <w:p w14:paraId="1DC8AF39" w14:textId="4A4A2AA8" w:rsidR="00C13AFA" w:rsidRDefault="00C13AFA">
      <w:pPr>
        <w:pStyle w:val="ad"/>
      </w:pPr>
      <w:r>
        <w:rPr>
          <w:rStyle w:val="ae"/>
        </w:rPr>
        <w:footnoteRef/>
      </w:r>
      <w:r>
        <w:t xml:space="preserve"> </w:t>
      </w:r>
      <w:r w:rsidRPr="00AC17F9">
        <w:t>Irene Mandl, chapter 1 Overview of New Forms of Employment, New Forms of Employment in Europe (Wolters Kluwer), p. 18.</w:t>
      </w:r>
    </w:p>
  </w:footnote>
  <w:footnote w:id="62">
    <w:p w14:paraId="27365D99" w14:textId="64FB390A" w:rsidR="00C13AFA" w:rsidRDefault="00C13AFA">
      <w:pPr>
        <w:pStyle w:val="ad"/>
      </w:pPr>
      <w:r>
        <w:rPr>
          <w:rStyle w:val="ae"/>
        </w:rPr>
        <w:footnoteRef/>
      </w:r>
      <w:r>
        <w:t xml:space="preserve"> </w:t>
      </w:r>
      <w:r w:rsidRPr="00AC17F9">
        <w:t>Irene Mandl, chapter 1 Overview of New Forms of Employment, New Forms of Employment in Europe (Wolters Kluwer), p. 18.</w:t>
      </w:r>
    </w:p>
  </w:footnote>
  <w:footnote w:id="63">
    <w:p w14:paraId="4EFCCF14" w14:textId="511C4F30" w:rsidR="00C13AFA" w:rsidRDefault="00C13AFA">
      <w:pPr>
        <w:pStyle w:val="ad"/>
      </w:pPr>
      <w:r>
        <w:rPr>
          <w:rStyle w:val="ae"/>
        </w:rPr>
        <w:footnoteRef/>
      </w:r>
      <w:r>
        <w:t xml:space="preserve"> </w:t>
      </w:r>
      <w:r w:rsidRPr="00AC17F9">
        <w:t>Irene Mandl, chapter 1 Overview of New Forms of Employment, New Forms of Employment in Europe (Wolters Kluwer), p. 18.</w:t>
      </w:r>
    </w:p>
  </w:footnote>
  <w:footnote w:id="64">
    <w:p w14:paraId="765CADEA" w14:textId="05919534" w:rsidR="00C13AFA" w:rsidRDefault="00C13AFA">
      <w:pPr>
        <w:pStyle w:val="ad"/>
      </w:pPr>
      <w:r>
        <w:rPr>
          <w:rStyle w:val="ae"/>
        </w:rPr>
        <w:footnoteRef/>
      </w:r>
      <w:r>
        <w:t xml:space="preserve"> </w:t>
      </w:r>
      <w:r w:rsidRPr="00AC17F9">
        <w:t>Irene Mandl, chapter 1 Overview of New Forms of Employment, New Forms of Employment in Europe (Wolters Kluwer), p. 18.</w:t>
      </w:r>
    </w:p>
  </w:footnote>
  <w:footnote w:id="65">
    <w:p w14:paraId="46BDA654" w14:textId="74BB4DD7" w:rsidR="00C13AFA" w:rsidRDefault="00C13AFA">
      <w:pPr>
        <w:pStyle w:val="ad"/>
      </w:pPr>
      <w:r>
        <w:rPr>
          <w:rStyle w:val="ae"/>
        </w:rPr>
        <w:footnoteRef/>
      </w:r>
      <w:r>
        <w:t xml:space="preserve"> </w:t>
      </w:r>
      <w:r w:rsidRPr="00AC17F9">
        <w:t>Irene Mandl, chapter 1 Overview of New Forms of Employment, New Forms of Employment in Europe (Wolters Kluwer), p. 21.</w:t>
      </w:r>
    </w:p>
  </w:footnote>
  <w:footnote w:id="66">
    <w:p w14:paraId="66A09547" w14:textId="0141DD51" w:rsidR="00C13AFA" w:rsidRDefault="00C13AFA">
      <w:pPr>
        <w:pStyle w:val="ad"/>
      </w:pPr>
      <w:r>
        <w:rPr>
          <w:rStyle w:val="ae"/>
        </w:rPr>
        <w:footnoteRef/>
      </w:r>
      <w:r>
        <w:t xml:space="preserve"> </w:t>
      </w:r>
      <w:r w:rsidRPr="00AC17F9">
        <w:t>Irene Mandl, chapter 1 Overview of New Forms of Employment, New Forms of Employment in Europe (Wolters Kluwer), p. 21.</w:t>
      </w:r>
    </w:p>
  </w:footnote>
  <w:footnote w:id="67">
    <w:p w14:paraId="673040B0" w14:textId="2BDBA00C" w:rsidR="00C13AFA" w:rsidRDefault="00C13AFA">
      <w:pPr>
        <w:pStyle w:val="ad"/>
      </w:pPr>
      <w:r>
        <w:rPr>
          <w:rStyle w:val="ae"/>
        </w:rPr>
        <w:footnoteRef/>
      </w:r>
      <w:r>
        <w:t xml:space="preserve"> </w:t>
      </w:r>
      <w:r w:rsidRPr="00B10A4A">
        <w:t>Irene Mandl, chapter 1 Overview of New Forms of Employment, New Forms of Employment in Europe (Wolters Kluwer), p. 22.</w:t>
      </w:r>
    </w:p>
  </w:footnote>
  <w:footnote w:id="68">
    <w:p w14:paraId="47751046" w14:textId="5FFDC79B" w:rsidR="00C13AFA" w:rsidRDefault="00C13AFA">
      <w:pPr>
        <w:pStyle w:val="ad"/>
      </w:pPr>
      <w:r>
        <w:rPr>
          <w:rStyle w:val="ae"/>
        </w:rPr>
        <w:footnoteRef/>
      </w:r>
      <w:r>
        <w:t xml:space="preserve"> </w:t>
      </w:r>
      <w:r w:rsidRPr="00B10A4A">
        <w:t>Irene Mandl, chapter 1 Overview of New Forms of Employment, New Forms of Employment in Europe (Wolters Kluwer), p. 22.</w:t>
      </w:r>
    </w:p>
  </w:footnote>
  <w:footnote w:id="69">
    <w:p w14:paraId="1F03B617" w14:textId="6D683C18" w:rsidR="00C13AFA" w:rsidRDefault="00C13AFA">
      <w:pPr>
        <w:pStyle w:val="ad"/>
      </w:pPr>
      <w:r>
        <w:rPr>
          <w:rStyle w:val="ae"/>
        </w:rPr>
        <w:footnoteRef/>
      </w:r>
      <w:r>
        <w:t xml:space="preserve"> </w:t>
      </w:r>
      <w:r w:rsidRPr="00B10A4A">
        <w:t>Irene Mandl, chapter 1 Overview of New Forms of Employment, New Forms of Employment in Europe (Wolters Kluwer), p. 22.</w:t>
      </w:r>
    </w:p>
  </w:footnote>
  <w:footnote w:id="70">
    <w:p w14:paraId="19575F28" w14:textId="210AEEEE" w:rsidR="00C13AFA" w:rsidRDefault="00C13AFA">
      <w:pPr>
        <w:pStyle w:val="ad"/>
      </w:pPr>
      <w:r>
        <w:rPr>
          <w:rStyle w:val="ae"/>
        </w:rPr>
        <w:footnoteRef/>
      </w:r>
      <w:r>
        <w:t xml:space="preserve"> </w:t>
      </w:r>
      <w:r w:rsidRPr="00B10A4A">
        <w:t>Irene Mandl, chapter 1 Overview of New Forms of Employment, New Forms of Employment in Europe (Wolters Kluwer), p. 22.</w:t>
      </w:r>
    </w:p>
  </w:footnote>
  <w:footnote w:id="71">
    <w:p w14:paraId="7D0EE695" w14:textId="6A546431" w:rsidR="00C13AFA" w:rsidRDefault="00C13AFA">
      <w:pPr>
        <w:pStyle w:val="ad"/>
      </w:pPr>
      <w:r>
        <w:rPr>
          <w:rStyle w:val="ae"/>
        </w:rPr>
        <w:footnoteRef/>
      </w:r>
      <w:r>
        <w:t xml:space="preserve"> </w:t>
      </w:r>
      <w:r w:rsidRPr="00B10A4A">
        <w:t>Irene Mandl, chapter 1 Overview of New Forms of Employment, New Forms of Employment in Europe (Wolters Kluwer), p. 22.</w:t>
      </w:r>
    </w:p>
  </w:footnote>
  <w:footnote w:id="72">
    <w:p w14:paraId="5CB432BE" w14:textId="34426C0A" w:rsidR="00C13AFA" w:rsidRDefault="00C13AFA">
      <w:pPr>
        <w:pStyle w:val="ad"/>
      </w:pPr>
      <w:r>
        <w:rPr>
          <w:rStyle w:val="ae"/>
        </w:rPr>
        <w:footnoteRef/>
      </w:r>
      <w:r>
        <w:t xml:space="preserve"> </w:t>
      </w:r>
      <w:r w:rsidRPr="00B10A4A">
        <w:t>Irene Mandl, chapter 1 Overview of New Forms of Employment, New Forms of Employment in Europe (Wolters Kluwer), p. 22.</w:t>
      </w:r>
    </w:p>
  </w:footnote>
  <w:footnote w:id="73">
    <w:p w14:paraId="5C97B709" w14:textId="1524BD3B" w:rsidR="00C13AFA" w:rsidRDefault="00C13AFA">
      <w:pPr>
        <w:pStyle w:val="ad"/>
      </w:pPr>
      <w:r>
        <w:rPr>
          <w:rStyle w:val="ae"/>
        </w:rPr>
        <w:footnoteRef/>
      </w:r>
      <w:r>
        <w:t xml:space="preserve"> </w:t>
      </w:r>
      <w:r w:rsidRPr="00B10A4A">
        <w:t>Irene Mandl, chapter 1 Overview of New Forms of Employment, New Forms of Employment in Europe (Wolters Kluwer), p. 22.</w:t>
      </w:r>
    </w:p>
  </w:footnote>
  <w:footnote w:id="74">
    <w:p w14:paraId="1E3E012E" w14:textId="48C1BCF2" w:rsidR="00C13AFA" w:rsidRDefault="00C13AFA">
      <w:pPr>
        <w:pStyle w:val="ad"/>
      </w:pPr>
      <w:r>
        <w:rPr>
          <w:rStyle w:val="ae"/>
        </w:rPr>
        <w:footnoteRef/>
      </w:r>
      <w:r>
        <w:t xml:space="preserve"> </w:t>
      </w:r>
      <w:r w:rsidRPr="00B10A4A">
        <w:t>Irene Mandl, chapter 1 Overview of New Forms of Employment, New Forms of Employment in Europe (Wolters Kluwer), p. 22.</w:t>
      </w:r>
    </w:p>
  </w:footnote>
  <w:footnote w:id="75">
    <w:p w14:paraId="4F61D78F" w14:textId="682197F1" w:rsidR="00C13AFA" w:rsidRDefault="00C13AFA">
      <w:pPr>
        <w:pStyle w:val="ad"/>
      </w:pPr>
      <w:r>
        <w:rPr>
          <w:rStyle w:val="ae"/>
        </w:rPr>
        <w:footnoteRef/>
      </w:r>
      <w:r>
        <w:t xml:space="preserve"> </w:t>
      </w:r>
      <w:r w:rsidRPr="00B10A4A">
        <w:t xml:space="preserve">Simon Deakin, chapter 3 New Forms of Employment: Implications for EU Law – The Law as It Stands, New Forms of Employment in Europe (Bulletin of comparative </w:t>
      </w:r>
      <w:proofErr w:type="spellStart"/>
      <w:r w:rsidRPr="00B10A4A">
        <w:t>Labour</w:t>
      </w:r>
      <w:proofErr w:type="spellEnd"/>
      <w:r w:rsidRPr="00B10A4A">
        <w:t xml:space="preserve"> Relations vol 94., Wolters Kluwer), p. 44.</w:t>
      </w:r>
    </w:p>
  </w:footnote>
  <w:footnote w:id="76">
    <w:p w14:paraId="79390EAF" w14:textId="0FD9AA1B" w:rsidR="00C13AFA" w:rsidRDefault="00C13AFA">
      <w:pPr>
        <w:pStyle w:val="ad"/>
      </w:pPr>
      <w:r>
        <w:rPr>
          <w:rStyle w:val="ae"/>
        </w:rPr>
        <w:footnoteRef/>
      </w:r>
      <w:r>
        <w:t xml:space="preserve"> </w:t>
      </w:r>
      <w:r w:rsidRPr="00B10A4A">
        <w:t xml:space="preserve">Simon Deakin, chapter 3 New Forms of Employment: Implications for EU Law – The Law as It Stands, New Forms of Employment in Europe (Bulletin of comparative </w:t>
      </w:r>
      <w:proofErr w:type="spellStart"/>
      <w:r w:rsidRPr="00B10A4A">
        <w:t>Labour</w:t>
      </w:r>
      <w:proofErr w:type="spellEnd"/>
      <w:r w:rsidRPr="00B10A4A">
        <w:t xml:space="preserve"> Relations vol 94., Wolters Kluwer), p. 44.</w:t>
      </w:r>
    </w:p>
  </w:footnote>
  <w:footnote w:id="77">
    <w:p w14:paraId="1BB9DCF1" w14:textId="25C170A7" w:rsidR="00C13AFA" w:rsidRDefault="00C13AFA">
      <w:pPr>
        <w:pStyle w:val="ad"/>
      </w:pPr>
      <w:r>
        <w:rPr>
          <w:rStyle w:val="ae"/>
        </w:rPr>
        <w:footnoteRef/>
      </w:r>
      <w:r>
        <w:t xml:space="preserve"> </w:t>
      </w:r>
      <w:r w:rsidRPr="00B10A4A">
        <w:t xml:space="preserve">Simon Deakin, chapter 3 New Forms of Employment: Implications for EU Law – The Law as It Stands, New Forms of Employment in Europe (Bulletin of comparative </w:t>
      </w:r>
      <w:proofErr w:type="spellStart"/>
      <w:r w:rsidRPr="00B10A4A">
        <w:t>Labour</w:t>
      </w:r>
      <w:proofErr w:type="spellEnd"/>
      <w:r w:rsidRPr="00B10A4A">
        <w:t xml:space="preserve"> Relations vol 94., Wolters Kluwer), p. 44.</w:t>
      </w:r>
    </w:p>
  </w:footnote>
  <w:footnote w:id="78">
    <w:p w14:paraId="6894CE70" w14:textId="12F47366" w:rsidR="00C13AFA" w:rsidRDefault="00C13AFA">
      <w:pPr>
        <w:pStyle w:val="ad"/>
      </w:pPr>
      <w:r>
        <w:rPr>
          <w:rStyle w:val="ae"/>
        </w:rPr>
        <w:footnoteRef/>
      </w:r>
      <w:r>
        <w:t xml:space="preserve"> </w:t>
      </w:r>
      <w:r w:rsidRPr="00B10A4A">
        <w:t xml:space="preserve">Simon Deakin, chapter 3 New Forms of Employment: Implications for EU Law – The Law as It Stands, New Forms of Employment in Europe (Bulletin of comparative </w:t>
      </w:r>
      <w:proofErr w:type="spellStart"/>
      <w:r w:rsidRPr="00B10A4A">
        <w:t>Labour</w:t>
      </w:r>
      <w:proofErr w:type="spellEnd"/>
      <w:r w:rsidRPr="00B10A4A">
        <w:t xml:space="preserve"> Relations vol 94., Wolters Kluwer), p. 44.</w:t>
      </w:r>
    </w:p>
  </w:footnote>
  <w:footnote w:id="79">
    <w:p w14:paraId="49790C07" w14:textId="32297A02" w:rsidR="00C13AFA" w:rsidRDefault="00C13AFA">
      <w:pPr>
        <w:pStyle w:val="ad"/>
      </w:pPr>
      <w:r>
        <w:rPr>
          <w:rStyle w:val="ae"/>
        </w:rPr>
        <w:footnoteRef/>
      </w:r>
      <w:r>
        <w:t xml:space="preserve"> </w:t>
      </w:r>
      <w:r w:rsidRPr="00B10A4A">
        <w:t xml:space="preserve">Simon Deakin, chapter 3 New Forms of Employment: Implications for EU Law – The Law as It Stands, New Forms of Employment in Europe (Bulletin of comparative </w:t>
      </w:r>
      <w:proofErr w:type="spellStart"/>
      <w:r w:rsidRPr="00B10A4A">
        <w:t>Labour</w:t>
      </w:r>
      <w:proofErr w:type="spellEnd"/>
      <w:r w:rsidRPr="00B10A4A">
        <w:t xml:space="preserve"> Relations vol 94., Wolters Kluwer), p. 44.</w:t>
      </w:r>
    </w:p>
  </w:footnote>
  <w:footnote w:id="80">
    <w:p w14:paraId="4FE7655A" w14:textId="37D69DC1" w:rsidR="00C13AFA" w:rsidRDefault="00C13AFA">
      <w:pPr>
        <w:pStyle w:val="ad"/>
      </w:pPr>
      <w:r>
        <w:rPr>
          <w:rStyle w:val="ae"/>
        </w:rPr>
        <w:footnoteRef/>
      </w:r>
      <w:r>
        <w:t xml:space="preserve"> </w:t>
      </w:r>
      <w:r w:rsidRPr="00D07C8E">
        <w:t xml:space="preserve">Simon Deakin, chapter 3 New Forms of Employment: Implications for EU Law – The Law as It Stands, New Forms of Employment in Europe (Bulletin of comparative </w:t>
      </w:r>
      <w:proofErr w:type="spellStart"/>
      <w:r w:rsidRPr="00D07C8E">
        <w:t>Labour</w:t>
      </w:r>
      <w:proofErr w:type="spellEnd"/>
      <w:r w:rsidRPr="00D07C8E">
        <w:t xml:space="preserve"> Relations vol 94., Wolters Kluwer), p. 44.</w:t>
      </w:r>
    </w:p>
  </w:footnote>
  <w:footnote w:id="81">
    <w:p w14:paraId="45EC22CC" w14:textId="08B927C5" w:rsidR="00C13AFA" w:rsidRDefault="00C13AFA">
      <w:pPr>
        <w:pStyle w:val="ad"/>
      </w:pPr>
      <w:r>
        <w:rPr>
          <w:rStyle w:val="ae"/>
        </w:rPr>
        <w:footnoteRef/>
      </w:r>
      <w:r>
        <w:t xml:space="preserve"> </w:t>
      </w:r>
      <w:r w:rsidRPr="00D07C8E">
        <w:t xml:space="preserve">Simon Deakin, chapter 3 New Forms of Employment: Implications for EU Law – The Law as It Stands, New Forms of Employment in Europe (Bulletin of comparative </w:t>
      </w:r>
      <w:proofErr w:type="spellStart"/>
      <w:r w:rsidRPr="00D07C8E">
        <w:t>Labour</w:t>
      </w:r>
      <w:proofErr w:type="spellEnd"/>
      <w:r w:rsidRPr="00D07C8E">
        <w:t xml:space="preserve"> Relations vol 94., Wolters Kluwer), p. 44.</w:t>
      </w:r>
    </w:p>
  </w:footnote>
  <w:footnote w:id="82">
    <w:p w14:paraId="2D15B633" w14:textId="73B7B213" w:rsidR="00C13AFA" w:rsidRDefault="00C13AFA">
      <w:pPr>
        <w:pStyle w:val="ad"/>
      </w:pPr>
      <w:r>
        <w:rPr>
          <w:rStyle w:val="ae"/>
        </w:rPr>
        <w:footnoteRef/>
      </w:r>
      <w:r>
        <w:t xml:space="preserve"> </w:t>
      </w:r>
      <w:r w:rsidRPr="00D07C8E">
        <w:t xml:space="preserve">See Deakin, S. &amp; Morris, G. </w:t>
      </w:r>
      <w:proofErr w:type="spellStart"/>
      <w:r w:rsidRPr="00D07C8E">
        <w:t>Labour</w:t>
      </w:r>
      <w:proofErr w:type="spellEnd"/>
      <w:r w:rsidRPr="00D07C8E">
        <w:t xml:space="preserve"> Law, para. 3.58 (6th ed., Oxford, Hart, 2012)</w:t>
      </w:r>
    </w:p>
  </w:footnote>
  <w:footnote w:id="83">
    <w:p w14:paraId="7DC57A8D" w14:textId="35675C8D" w:rsidR="00C13AFA" w:rsidRDefault="00C13AFA">
      <w:pPr>
        <w:pStyle w:val="ad"/>
      </w:pPr>
      <w:r>
        <w:rPr>
          <w:rStyle w:val="ae"/>
        </w:rPr>
        <w:footnoteRef/>
      </w:r>
      <w:r>
        <w:t xml:space="preserve"> </w:t>
      </w:r>
      <w:r w:rsidRPr="00D07C8E">
        <w:t xml:space="preserve">See e.g. J </w:t>
      </w:r>
      <w:proofErr w:type="spellStart"/>
      <w:r w:rsidRPr="00D07C8E">
        <w:t>Aglionby</w:t>
      </w:r>
      <w:proofErr w:type="spellEnd"/>
      <w:r w:rsidRPr="00D07C8E">
        <w:t xml:space="preserve"> </w:t>
      </w:r>
      <w:proofErr w:type="gramStart"/>
      <w:r w:rsidRPr="00D07C8E">
        <w:t>‘”One</w:t>
      </w:r>
      <w:proofErr w:type="gramEnd"/>
      <w:r w:rsidRPr="00D07C8E">
        <w:t xml:space="preserve"> million” UK Workers on Zero Hours Contracts’ Financial Times (London, 5 August 2013).</w:t>
      </w:r>
    </w:p>
  </w:footnote>
  <w:footnote w:id="84">
    <w:p w14:paraId="15A90182" w14:textId="3A1DB630" w:rsidR="00C13AFA" w:rsidRDefault="00C13AFA">
      <w:pPr>
        <w:pStyle w:val="ad"/>
      </w:pPr>
      <w:r>
        <w:rPr>
          <w:rStyle w:val="ae"/>
        </w:rPr>
        <w:footnoteRef/>
      </w:r>
      <w:r>
        <w:t xml:space="preserve"> </w:t>
      </w:r>
      <w:r w:rsidRPr="00D07C8E">
        <w:t>B Groom, ‘Employers Face Greater Challenges, Says ACAS Chairman’ Financial Times (London, 16 March 2014).</w:t>
      </w:r>
    </w:p>
  </w:footnote>
  <w:footnote w:id="85">
    <w:p w14:paraId="5FEAFA4B" w14:textId="281AD383" w:rsidR="00C13AFA" w:rsidRDefault="00C13AFA">
      <w:pPr>
        <w:pStyle w:val="ad"/>
      </w:pPr>
      <w:r>
        <w:rPr>
          <w:rStyle w:val="ae"/>
        </w:rPr>
        <w:footnoteRef/>
      </w:r>
      <w:r>
        <w:t xml:space="preserve"> </w:t>
      </w:r>
      <w:r w:rsidRPr="00D07C8E">
        <w:t>Including a whole day of Opposition-led debate: see HC Deb 16 Oct 2013, vol.567, 744ff.</w:t>
      </w:r>
    </w:p>
  </w:footnote>
  <w:footnote w:id="86">
    <w:p w14:paraId="5F97BD4C" w14:textId="7ADED5B9" w:rsidR="00C13AFA" w:rsidRDefault="00C13AFA">
      <w:pPr>
        <w:pStyle w:val="ad"/>
      </w:pPr>
      <w:r>
        <w:rPr>
          <w:rStyle w:val="ae"/>
        </w:rPr>
        <w:footnoteRef/>
      </w:r>
      <w:r>
        <w:t xml:space="preserve"> </w:t>
      </w:r>
      <w:r w:rsidRPr="00D07C8E">
        <w:t xml:space="preserve">Zero Hours Contracts HC Bill (2013-14) 79 [‘ZHC Bill’]. The Bill was presented as a Private Member’s Bill on </w:t>
      </w:r>
      <w:proofErr w:type="gramStart"/>
      <w:r w:rsidRPr="00D07C8E">
        <w:t>24 June 2013, and</w:t>
      </w:r>
      <w:proofErr w:type="gramEnd"/>
      <w:r w:rsidRPr="00D07C8E">
        <w:t xml:space="preserve"> nominated for second reading on 6 June 2014. As Parliament did sit on that day, the progress of the Bill is uncertain. See http://services.parliament.uk/bills/2013-14/zerohourscontracts.html, accessed 6 June 2014.</w:t>
      </w:r>
    </w:p>
  </w:footnote>
  <w:footnote w:id="87">
    <w:p w14:paraId="3BCA7FAE" w14:textId="00E3D1FD" w:rsidR="00C13AFA" w:rsidRDefault="00C13AFA">
      <w:pPr>
        <w:pStyle w:val="ad"/>
      </w:pPr>
      <w:r>
        <w:rPr>
          <w:rStyle w:val="ae"/>
        </w:rPr>
        <w:footnoteRef/>
      </w:r>
      <w:r>
        <w:t xml:space="preserve"> </w:t>
      </w:r>
      <w:r w:rsidRPr="00D07C8E">
        <w:t>BIS, Consultation: Zero Hours Employment Contracts (London, December 2013) [‘Consultation’] 4.</w:t>
      </w:r>
    </w:p>
  </w:footnote>
  <w:footnote w:id="88">
    <w:p w14:paraId="0047996D" w14:textId="4E8FF4FC" w:rsidR="00C13AFA" w:rsidRDefault="00C13AFA">
      <w:pPr>
        <w:pStyle w:val="ad"/>
      </w:pPr>
      <w:r>
        <w:rPr>
          <w:rStyle w:val="ae"/>
        </w:rPr>
        <w:footnoteRef/>
      </w:r>
      <w:r>
        <w:t xml:space="preserve"> </w:t>
      </w:r>
      <w:r w:rsidRPr="00D07C8E">
        <w:t>HM Government, Queen’s Speech 2014 (London, June 2014).</w:t>
      </w:r>
    </w:p>
  </w:footnote>
  <w:footnote w:id="89">
    <w:p w14:paraId="6AB5D311" w14:textId="6E13D93F" w:rsidR="00C13AFA" w:rsidRDefault="00C13AFA">
      <w:pPr>
        <w:pStyle w:val="ad"/>
      </w:pPr>
      <w:r>
        <w:rPr>
          <w:rStyle w:val="ae"/>
        </w:rPr>
        <w:footnoteRef/>
      </w:r>
      <w:r>
        <w:t xml:space="preserve"> </w:t>
      </w:r>
      <w:r w:rsidRPr="00D07C8E">
        <w:t>Prime Minister’s Office, The Queen’s Speech 2014 – Lobby Briefing (London, June 2014) 18.</w:t>
      </w:r>
    </w:p>
  </w:footnote>
  <w:footnote w:id="90">
    <w:p w14:paraId="716FF61C" w14:textId="64A5E23E" w:rsidR="00C13AFA" w:rsidRPr="00D07C8E" w:rsidRDefault="00C13AFA">
      <w:pPr>
        <w:pStyle w:val="ad"/>
      </w:pPr>
      <w:r>
        <w:rPr>
          <w:rStyle w:val="ae"/>
        </w:rPr>
        <w:footnoteRef/>
      </w:r>
      <w:r>
        <w:t xml:space="preserve"> </w:t>
      </w:r>
      <w:r w:rsidRPr="00D07C8E">
        <w:t>Department of Business, Energy &amp; Industrial Strategy, Guidance ‘Zero hours contracts: guidance for employers’, Published 15 October 2015, https://www.gov.uk/government/publications/zero-hours-contracts-guidance-for-employers/zero-hours-contracts-guidance-for-employers</w:t>
      </w:r>
    </w:p>
  </w:footnote>
  <w:footnote w:id="91">
    <w:p w14:paraId="48EEC83D" w14:textId="132A4111" w:rsidR="00C13AFA" w:rsidRDefault="00C13AFA">
      <w:pPr>
        <w:pStyle w:val="ad"/>
      </w:pPr>
      <w:r>
        <w:rPr>
          <w:rStyle w:val="ae"/>
        </w:rPr>
        <w:footnoteRef/>
      </w:r>
      <w:r>
        <w:t xml:space="preserve"> </w:t>
      </w:r>
      <w:r w:rsidRPr="00D07C8E">
        <w:t>Department of Business, Energy &amp; Industrial Strategy, Guidance ‘Zero hours contracts: guidance for employers’, Published 15 October 2015, https://www.gov.uk/government/publications/zero-hours-contracts-guidance-for-employers/zero-hours-contracts-guidance-for-employers</w:t>
      </w:r>
    </w:p>
  </w:footnote>
  <w:footnote w:id="92">
    <w:p w14:paraId="22AEEAD4" w14:textId="0C7DD475" w:rsidR="00C13AFA" w:rsidRDefault="00C13AFA">
      <w:pPr>
        <w:pStyle w:val="ad"/>
      </w:pPr>
      <w:r>
        <w:rPr>
          <w:rStyle w:val="ae"/>
        </w:rPr>
        <w:footnoteRef/>
      </w:r>
      <w:r>
        <w:t xml:space="preserve"> </w:t>
      </w:r>
      <w:r w:rsidRPr="00D07C8E">
        <w:t>Department of Business, Energy &amp; Industrial Strategy, Guidance ‘Zero hours contracts: guidance for employers’, Published 15 October 2015, https://www.gov.uk/government/publications/zero-hours-contracts-guidance-for-employers/zero-hours-contracts-guidance-for-employers</w:t>
      </w:r>
    </w:p>
  </w:footnote>
  <w:footnote w:id="93">
    <w:p w14:paraId="1579F637" w14:textId="7D85F83E" w:rsidR="00C13AFA" w:rsidRDefault="00C13AFA">
      <w:pPr>
        <w:pStyle w:val="ad"/>
      </w:pPr>
      <w:r>
        <w:rPr>
          <w:rStyle w:val="ae"/>
        </w:rPr>
        <w:footnoteRef/>
      </w:r>
      <w:r>
        <w:t xml:space="preserve"> </w:t>
      </w:r>
      <w:r w:rsidRPr="00D07C8E">
        <w:t>Department of Business, Energy &amp; Industrial Strategy, Guidance ‘Zero hours contracts: guidance for employers’, Published 15 October 2015, https://www.gov.uk/government/publications/zero-hours-contracts-guidance-for-employers/zero-hours-contracts-guidance-for-employers</w:t>
      </w:r>
    </w:p>
  </w:footnote>
  <w:footnote w:id="94">
    <w:p w14:paraId="6815AAD2" w14:textId="2A927ABA" w:rsidR="00C13AFA" w:rsidRDefault="00C13AFA">
      <w:pPr>
        <w:pStyle w:val="ad"/>
      </w:pPr>
      <w:r>
        <w:rPr>
          <w:rStyle w:val="ae"/>
        </w:rPr>
        <w:footnoteRef/>
      </w:r>
      <w:r>
        <w:t xml:space="preserve"> </w:t>
      </w:r>
      <w:r w:rsidRPr="00D07C8E">
        <w:rPr>
          <w:rFonts w:hint="eastAsia"/>
        </w:rPr>
        <w:t>“</w:t>
      </w:r>
      <w:r w:rsidRPr="00D07C8E">
        <w:t>Employee”. Guide Employment status. UK.Gov. https://www.gov.uk/employment-status/employee, retrieved 13 March 2018.</w:t>
      </w:r>
    </w:p>
  </w:footnote>
  <w:footnote w:id="95">
    <w:p w14:paraId="1E0974C6" w14:textId="5038E6D5" w:rsidR="00C13AFA" w:rsidRDefault="00C13AFA">
      <w:pPr>
        <w:pStyle w:val="ad"/>
      </w:pPr>
      <w:r>
        <w:rPr>
          <w:rStyle w:val="ae"/>
        </w:rPr>
        <w:footnoteRef/>
      </w:r>
      <w:r>
        <w:t xml:space="preserve"> </w:t>
      </w:r>
      <w:r w:rsidRPr="00D07C8E">
        <w:t>Department of Business, Energy &amp; Industrial Strategy, Guidance ‘Zero hours contracts: guidance for employers’, Published 15 October 2015, https://www.gov.uk/government/publications/zero-hours-contracts-guidance-for-employers/zero-hours-contracts-guidance-for-employers</w:t>
      </w:r>
    </w:p>
  </w:footnote>
  <w:footnote w:id="96">
    <w:p w14:paraId="54109447" w14:textId="50E1AC03" w:rsidR="00C13AFA" w:rsidRDefault="00C13AFA">
      <w:pPr>
        <w:pStyle w:val="ad"/>
      </w:pPr>
      <w:r>
        <w:rPr>
          <w:rStyle w:val="ae"/>
        </w:rPr>
        <w:footnoteRef/>
      </w:r>
      <w:r>
        <w:t xml:space="preserve"> </w:t>
      </w:r>
      <w:r w:rsidRPr="00D07C8E">
        <w:t xml:space="preserve">Dr. Abi Adams, Prof. Mark Freedland, Prof. Jeremias </w:t>
      </w:r>
      <w:proofErr w:type="spellStart"/>
      <w:r w:rsidRPr="00D07C8E">
        <w:t>Prassl</w:t>
      </w:r>
      <w:proofErr w:type="spellEnd"/>
      <w:r w:rsidRPr="00D07C8E">
        <w:t xml:space="preserve">, The “Zero-Hours Contract”: Regulating casual work, or legitimating </w:t>
      </w:r>
      <w:proofErr w:type="gramStart"/>
      <w:r w:rsidRPr="00D07C8E">
        <w:t>precarity?,</w:t>
      </w:r>
      <w:proofErr w:type="gramEnd"/>
      <w:r w:rsidRPr="00D07C8E">
        <w:t xml:space="preserve"> March 2015, European </w:t>
      </w:r>
      <w:proofErr w:type="spellStart"/>
      <w:r w:rsidRPr="00D07C8E">
        <w:t>Labour</w:t>
      </w:r>
      <w:proofErr w:type="spellEnd"/>
      <w:r w:rsidRPr="00D07C8E">
        <w:t xml:space="preserve"> Law Network(ELLN) (Working Paper No. 5. p. 5.</w:t>
      </w:r>
    </w:p>
  </w:footnote>
  <w:footnote w:id="97">
    <w:p w14:paraId="5FBCCDF7" w14:textId="3872074F" w:rsidR="00C13AFA" w:rsidRDefault="00C13AFA">
      <w:pPr>
        <w:pStyle w:val="ad"/>
      </w:pPr>
      <w:r>
        <w:rPr>
          <w:rStyle w:val="ae"/>
        </w:rPr>
        <w:footnoteRef/>
      </w:r>
      <w:r>
        <w:t xml:space="preserve"> </w:t>
      </w:r>
      <w:r w:rsidRPr="00D07C8E">
        <w:t>HC Deb 16 October 2013, vol 567, col 756.</w:t>
      </w:r>
    </w:p>
  </w:footnote>
  <w:footnote w:id="98">
    <w:p w14:paraId="00D032DC" w14:textId="6A59BEB5" w:rsidR="00C13AFA" w:rsidRDefault="00C13AFA">
      <w:pPr>
        <w:pStyle w:val="ad"/>
      </w:pPr>
      <w:r>
        <w:rPr>
          <w:rStyle w:val="ae"/>
        </w:rPr>
        <w:footnoteRef/>
      </w:r>
      <w:r>
        <w:t xml:space="preserve"> </w:t>
      </w:r>
      <w:r w:rsidRPr="00D07C8E">
        <w:t xml:space="preserve">S </w:t>
      </w:r>
      <w:proofErr w:type="spellStart"/>
      <w:r w:rsidRPr="00D07C8E">
        <w:t>Fredman</w:t>
      </w:r>
      <w:proofErr w:type="spellEnd"/>
      <w:r w:rsidRPr="00D07C8E">
        <w:t>, ‘</w:t>
      </w:r>
      <w:proofErr w:type="spellStart"/>
      <w:r w:rsidRPr="00D07C8E">
        <w:t>Labour</w:t>
      </w:r>
      <w:proofErr w:type="spellEnd"/>
      <w:r w:rsidRPr="00D07C8E">
        <w:t xml:space="preserve"> Law in Flux: The Changing Composition of the Workforce’ (1997) 26 ILJ 337, 339. The effects were originally particularly marked in the case of female workers (339-340) and industries such as construction and dock-working (340), or trawler working. See also P Leighton and R Painter, ‘“Task” and “Global” Contracts of Employment’ (1986) 15 ILJ 127; A </w:t>
      </w:r>
      <w:proofErr w:type="spellStart"/>
      <w:r w:rsidRPr="00D07C8E">
        <w:t>McColgan</w:t>
      </w:r>
      <w:proofErr w:type="spellEnd"/>
      <w:r w:rsidRPr="00D07C8E">
        <w:t>, Just Wages for Women (OUP 1997) 391.</w:t>
      </w:r>
    </w:p>
  </w:footnote>
  <w:footnote w:id="99">
    <w:p w14:paraId="74975BE8" w14:textId="55CB3CDE" w:rsidR="00C13AFA" w:rsidRDefault="00C13AFA">
      <w:pPr>
        <w:pStyle w:val="ad"/>
      </w:pPr>
      <w:r>
        <w:rPr>
          <w:rStyle w:val="ae"/>
        </w:rPr>
        <w:footnoteRef/>
      </w:r>
      <w:r>
        <w:t xml:space="preserve"> </w:t>
      </w:r>
      <w:r w:rsidRPr="00D07C8E">
        <w:t>In the instance cited, the employer’s minimum guarantee payment for employees within the meaning of s 22(1) of the Employment Protection Act 1975.</w:t>
      </w:r>
    </w:p>
  </w:footnote>
  <w:footnote w:id="100">
    <w:p w14:paraId="04C4F250" w14:textId="5558B377" w:rsidR="00C13AFA" w:rsidRDefault="00C13AFA">
      <w:pPr>
        <w:pStyle w:val="ad"/>
      </w:pPr>
      <w:r>
        <w:rPr>
          <w:rStyle w:val="ae"/>
        </w:rPr>
        <w:footnoteRef/>
      </w:r>
      <w:r>
        <w:t xml:space="preserve"> </w:t>
      </w:r>
      <w:proofErr w:type="spellStart"/>
      <w:r w:rsidRPr="00D07C8E">
        <w:t>Mailway</w:t>
      </w:r>
      <w:proofErr w:type="spellEnd"/>
      <w:r w:rsidRPr="00D07C8E">
        <w:t xml:space="preserve"> (Southern) Ltd v </w:t>
      </w:r>
      <w:proofErr w:type="spellStart"/>
      <w:r w:rsidRPr="00D07C8E">
        <w:t>Willsher</w:t>
      </w:r>
      <w:proofErr w:type="spellEnd"/>
      <w:r w:rsidRPr="00D07C8E">
        <w:t xml:space="preserve"> [1978] ICR 511 (EAT).</w:t>
      </w:r>
    </w:p>
  </w:footnote>
  <w:footnote w:id="101">
    <w:p w14:paraId="4F4499AD" w14:textId="00D2B4EB" w:rsidR="00C13AFA" w:rsidRDefault="00C13AFA">
      <w:pPr>
        <w:pStyle w:val="ad"/>
      </w:pPr>
      <w:r>
        <w:rPr>
          <w:rStyle w:val="ae"/>
        </w:rPr>
        <w:footnoteRef/>
      </w:r>
      <w:r>
        <w:t xml:space="preserve"> </w:t>
      </w:r>
      <w:r w:rsidRPr="00D07C8E">
        <w:t xml:space="preserve">ibid 513G. See H Collins, K Ewing and A </w:t>
      </w:r>
      <w:proofErr w:type="spellStart"/>
      <w:r w:rsidRPr="00D07C8E">
        <w:t>McColgan</w:t>
      </w:r>
      <w:proofErr w:type="spellEnd"/>
      <w:r w:rsidRPr="00D07C8E">
        <w:t xml:space="preserve">, </w:t>
      </w:r>
      <w:proofErr w:type="spellStart"/>
      <w:r w:rsidRPr="00D07C8E">
        <w:t>Labour</w:t>
      </w:r>
      <w:proofErr w:type="spellEnd"/>
      <w:r w:rsidRPr="00D07C8E">
        <w:t xml:space="preserve"> Law (CUP 2012) 163.</w:t>
      </w:r>
    </w:p>
  </w:footnote>
  <w:footnote w:id="102">
    <w:p w14:paraId="14E0D452" w14:textId="2C118C14" w:rsidR="00C13AFA" w:rsidRDefault="00C13AFA">
      <w:pPr>
        <w:pStyle w:val="ad"/>
      </w:pPr>
      <w:r>
        <w:rPr>
          <w:rStyle w:val="ae"/>
        </w:rPr>
        <w:footnoteRef/>
      </w:r>
      <w:r>
        <w:t xml:space="preserve"> </w:t>
      </w:r>
      <w:r w:rsidRPr="00D07C8E">
        <w:t xml:space="preserve">K Graven, Zero Hours Contracts: </w:t>
      </w:r>
      <w:proofErr w:type="gramStart"/>
      <w:r w:rsidRPr="00D07C8E">
        <w:t>a</w:t>
      </w:r>
      <w:proofErr w:type="gramEnd"/>
      <w:r w:rsidRPr="00D07C8E">
        <w:t xml:space="preserve"> Report into the Incidence and Implications of Such Contracts (University of </w:t>
      </w:r>
      <w:proofErr w:type="spellStart"/>
      <w:r w:rsidRPr="00D07C8E">
        <w:t>Huddersfield</w:t>
      </w:r>
      <w:proofErr w:type="spellEnd"/>
      <w:r w:rsidRPr="00D07C8E">
        <w:t>, 1997); as discussed in L Dickens, ‘Exploring the Atypical: Zero Hours Contracts’ (1997) 26 ILJ 262, 263.</w:t>
      </w:r>
    </w:p>
  </w:footnote>
  <w:footnote w:id="103">
    <w:p w14:paraId="17A12CFC" w14:textId="4B30F710" w:rsidR="00C13AFA" w:rsidRDefault="00C13AFA">
      <w:pPr>
        <w:pStyle w:val="ad"/>
      </w:pPr>
      <w:r>
        <w:rPr>
          <w:rStyle w:val="ae"/>
        </w:rPr>
        <w:footnoteRef/>
      </w:r>
      <w:r>
        <w:t xml:space="preserve"> </w:t>
      </w:r>
      <w:r w:rsidRPr="00D07C8E">
        <w:t>J Lourie, Fairness at Work – Research Paper 98/99 (HC Library, London 1998) 2627.</w:t>
      </w:r>
    </w:p>
  </w:footnote>
  <w:footnote w:id="104">
    <w:p w14:paraId="0A2F40DA" w14:textId="191C0BBF" w:rsidR="00C13AFA" w:rsidRDefault="00C13AFA">
      <w:pPr>
        <w:pStyle w:val="ad"/>
      </w:pPr>
      <w:r>
        <w:rPr>
          <w:rStyle w:val="ae"/>
        </w:rPr>
        <w:footnoteRef/>
      </w:r>
      <w:r>
        <w:t xml:space="preserve"> </w:t>
      </w:r>
      <w:r w:rsidRPr="00D07C8E">
        <w:t>B Kersley et al, Inside the Workplace: First Findings from the 2004 Workplace Employment Relations Survey (DTI, London 2005).</w:t>
      </w:r>
    </w:p>
  </w:footnote>
  <w:footnote w:id="105">
    <w:p w14:paraId="779BBC60" w14:textId="1BE6704B" w:rsidR="00C13AFA" w:rsidRDefault="00C13AFA">
      <w:pPr>
        <w:pStyle w:val="ad"/>
      </w:pPr>
      <w:r>
        <w:rPr>
          <w:rStyle w:val="ae"/>
        </w:rPr>
        <w:footnoteRef/>
      </w:r>
      <w:r>
        <w:t xml:space="preserve"> </w:t>
      </w:r>
      <w:r w:rsidRPr="00D07C8E">
        <w:t>The earliest mention of the label in the leading specialist journal appears to be in L Watson, ‘Employees and the Unfair Contract Terms Act’ (1995) 24 ILJ 323, 323.</w:t>
      </w:r>
    </w:p>
  </w:footnote>
  <w:footnote w:id="106">
    <w:p w14:paraId="704C212E" w14:textId="28D85837" w:rsidR="00C13AFA" w:rsidRDefault="00C13AFA">
      <w:pPr>
        <w:pStyle w:val="ad"/>
      </w:pPr>
      <w:r>
        <w:rPr>
          <w:rStyle w:val="ae"/>
        </w:rPr>
        <w:footnoteRef/>
      </w:r>
      <w:r>
        <w:t xml:space="preserve"> </w:t>
      </w:r>
      <w:r w:rsidRPr="00D07C8E">
        <w:t>DTI, Fairness at Work (White Paper, Cm 3968, 1998) [</w:t>
      </w:r>
      <w:proofErr w:type="gramStart"/>
      <w:r w:rsidRPr="00D07C8E">
        <w:t>3.14]ff.</w:t>
      </w:r>
      <w:proofErr w:type="gramEnd"/>
      <w:r w:rsidRPr="00D07C8E">
        <w:t xml:space="preserve"> For a critical analysis on point, see B Simpson, ‘Research and Reports’ (1998) 27 ILJ 245, 251; D McCann, Regulating Flexible Work (OUP 2008) 167ff.</w:t>
      </w:r>
    </w:p>
  </w:footnote>
  <w:footnote w:id="107">
    <w:p w14:paraId="7C6D9C60" w14:textId="45F345FB" w:rsidR="00C13AFA" w:rsidRDefault="00C13AFA">
      <w:pPr>
        <w:pStyle w:val="ad"/>
      </w:pPr>
      <w:r>
        <w:rPr>
          <w:rStyle w:val="ae"/>
        </w:rPr>
        <w:footnoteRef/>
      </w:r>
      <w:r>
        <w:t xml:space="preserve"> </w:t>
      </w:r>
      <w:r w:rsidRPr="00D07C8E">
        <w:t xml:space="preserve">see </w:t>
      </w:r>
      <w:proofErr w:type="spellStart"/>
      <w:r w:rsidRPr="00D07C8E">
        <w:t>eg</w:t>
      </w:r>
      <w:proofErr w:type="spellEnd"/>
      <w:r w:rsidRPr="00D07C8E">
        <w:t xml:space="preserve"> B Clement, ‘Burger King pays £ 106,000 to Staff Forced to “Clock Off”’ The Independent (London, 19 December 1995). Today this practice would no longer be possible under the Minimum Wage Act 1998.</w:t>
      </w:r>
    </w:p>
  </w:footnote>
  <w:footnote w:id="108">
    <w:p w14:paraId="7817F5CC" w14:textId="50AB0EB5" w:rsidR="00C13AFA" w:rsidRDefault="00C13AFA">
      <w:pPr>
        <w:pStyle w:val="ad"/>
      </w:pPr>
      <w:r>
        <w:rPr>
          <w:rStyle w:val="ae"/>
        </w:rPr>
        <w:footnoteRef/>
      </w:r>
      <w:r>
        <w:t xml:space="preserve"> </w:t>
      </w:r>
      <w:r w:rsidRPr="00D07C8E">
        <w:t>TI, Fairness at Work (White Paper, Cm 3968, 1998) [3.16].</w:t>
      </w:r>
    </w:p>
  </w:footnote>
  <w:footnote w:id="109">
    <w:p w14:paraId="0298A2A5" w14:textId="445F2AAC" w:rsidR="00C13AFA" w:rsidRDefault="00C13AFA">
      <w:pPr>
        <w:pStyle w:val="ad"/>
      </w:pPr>
      <w:r>
        <w:rPr>
          <w:rStyle w:val="ae"/>
        </w:rPr>
        <w:footnoteRef/>
      </w:r>
      <w:r>
        <w:t xml:space="preserve"> </w:t>
      </w:r>
      <w:r w:rsidRPr="00D07C8E">
        <w:t xml:space="preserve">R </w:t>
      </w:r>
      <w:proofErr w:type="spellStart"/>
      <w:r w:rsidRPr="00D07C8E">
        <w:t>Munck</w:t>
      </w:r>
      <w:proofErr w:type="spellEnd"/>
      <w:r w:rsidRPr="00D07C8E">
        <w:t xml:space="preserve">, </w:t>
      </w:r>
      <w:proofErr w:type="spellStart"/>
      <w:r w:rsidRPr="00D07C8E">
        <w:t>Labour</w:t>
      </w:r>
      <w:proofErr w:type="spellEnd"/>
      <w:r w:rsidRPr="00D07C8E">
        <w:t xml:space="preserve"> and </w:t>
      </w:r>
      <w:proofErr w:type="spellStart"/>
      <w:r w:rsidRPr="00D07C8E">
        <w:t>Globalisation</w:t>
      </w:r>
      <w:proofErr w:type="spellEnd"/>
      <w:r w:rsidRPr="00D07C8E">
        <w:t>: Results and Prospects (OUP 2003) 24.</w:t>
      </w:r>
    </w:p>
  </w:footnote>
  <w:footnote w:id="110">
    <w:p w14:paraId="742B1502" w14:textId="10D1C26F" w:rsidR="00C13AFA" w:rsidRDefault="00C13AFA">
      <w:pPr>
        <w:pStyle w:val="ad"/>
      </w:pPr>
      <w:r>
        <w:rPr>
          <w:rStyle w:val="ae"/>
        </w:rPr>
        <w:footnoteRef/>
      </w:r>
      <w:r>
        <w:t xml:space="preserve"> </w:t>
      </w:r>
      <w:r w:rsidRPr="00D07C8E">
        <w:t xml:space="preserve">For example, in Italy: A Lo Faro, ‘Fairness at Work? The Italian White Paper on </w:t>
      </w:r>
      <w:proofErr w:type="spellStart"/>
      <w:r w:rsidRPr="00D07C8E">
        <w:t>Labour</w:t>
      </w:r>
      <w:proofErr w:type="spellEnd"/>
      <w:r w:rsidRPr="00D07C8E">
        <w:t xml:space="preserve"> Market Reform’ (2002) 31 ILJ 190, 196. See also, in the context of a comparative discussion of a ‘differential labelling effect’, M Freedland and N </w:t>
      </w:r>
      <w:proofErr w:type="spellStart"/>
      <w:r w:rsidRPr="00D07C8E">
        <w:t>Kountouris</w:t>
      </w:r>
      <w:proofErr w:type="spellEnd"/>
      <w:r w:rsidRPr="00D07C8E">
        <w:t>, The Legal Construction of Personal Work Relations (OUP, 2012) 334.</w:t>
      </w:r>
    </w:p>
  </w:footnote>
  <w:footnote w:id="111">
    <w:p w14:paraId="022C355F" w14:textId="5C23E34D" w:rsidR="00C13AFA" w:rsidRDefault="00C13AFA">
      <w:pPr>
        <w:pStyle w:val="ad"/>
      </w:pPr>
      <w:r>
        <w:rPr>
          <w:rStyle w:val="ae"/>
        </w:rPr>
        <w:footnoteRef/>
      </w:r>
      <w:r>
        <w:t xml:space="preserve"> </w:t>
      </w:r>
      <w:r w:rsidRPr="00D07C8E">
        <w:t xml:space="preserve">Case C-313/02 Nicole </w:t>
      </w:r>
      <w:proofErr w:type="spellStart"/>
      <w:r w:rsidRPr="00D07C8E">
        <w:t>Wippel</w:t>
      </w:r>
      <w:proofErr w:type="spellEnd"/>
      <w:r w:rsidRPr="00D07C8E">
        <w:t xml:space="preserve"> v Peek &amp; </w:t>
      </w:r>
      <w:proofErr w:type="spellStart"/>
      <w:r w:rsidRPr="00D07C8E">
        <w:t>Cloppenburg</w:t>
      </w:r>
      <w:proofErr w:type="spellEnd"/>
      <w:r w:rsidRPr="00D07C8E">
        <w:t xml:space="preserve"> GmbH &amp; Co. KG ECR I-9522 [59]. See S Peers, ‘Equal Treatment of Atypical Workers: A New Frontier for EU Law’ (2013) 32 Yearbook of European Law 30, 41.</w:t>
      </w:r>
    </w:p>
  </w:footnote>
  <w:footnote w:id="112">
    <w:p w14:paraId="5B8F0869" w14:textId="5FB499DE" w:rsidR="00C13AFA" w:rsidRDefault="00C13AFA">
      <w:pPr>
        <w:pStyle w:val="ad"/>
      </w:pPr>
      <w:r>
        <w:rPr>
          <w:rStyle w:val="ae"/>
        </w:rPr>
        <w:footnoteRef/>
      </w:r>
      <w:r>
        <w:t xml:space="preserve"> </w:t>
      </w:r>
      <w:r w:rsidRPr="00D07C8E">
        <w:t>D McCann, Regulating Flexible Work (OUP 2008) 102.</w:t>
      </w:r>
    </w:p>
  </w:footnote>
  <w:footnote w:id="113">
    <w:p w14:paraId="236B09E5" w14:textId="0A8CDBA8" w:rsidR="00C13AFA" w:rsidRDefault="00C13AFA">
      <w:pPr>
        <w:pStyle w:val="ad"/>
      </w:pPr>
      <w:r>
        <w:rPr>
          <w:rStyle w:val="ae"/>
        </w:rPr>
        <w:footnoteRef/>
      </w:r>
      <w:r>
        <w:t xml:space="preserve"> </w:t>
      </w:r>
      <w:r w:rsidRPr="00D07C8E">
        <w:t>L Dickens, ‘Exploring the Atypical: Zero Hours Contracts’ (1997) 26 ILJ 263.</w:t>
      </w:r>
    </w:p>
  </w:footnote>
  <w:footnote w:id="114">
    <w:p w14:paraId="6316106E" w14:textId="2511C29A" w:rsidR="00C13AFA" w:rsidRDefault="00C13AFA">
      <w:pPr>
        <w:pStyle w:val="ad"/>
      </w:pPr>
      <w:r>
        <w:rPr>
          <w:rStyle w:val="ae"/>
        </w:rPr>
        <w:footnoteRef/>
      </w:r>
      <w:r>
        <w:t xml:space="preserve"> </w:t>
      </w:r>
      <w:r w:rsidRPr="00D07C8E">
        <w:t xml:space="preserve">J O’Connor, ‘Precarious Employment and EU Employment Regulation’ in G </w:t>
      </w:r>
      <w:proofErr w:type="spellStart"/>
      <w:r w:rsidRPr="00D07C8E">
        <w:t>Ramia</w:t>
      </w:r>
      <w:proofErr w:type="spellEnd"/>
      <w:r w:rsidRPr="00D07C8E">
        <w:t>, K Farnsworth and Z Irving, Social Policy Review 25: Analysis and Debate in Social Policy’ (OUP 2013) 238.</w:t>
      </w:r>
    </w:p>
  </w:footnote>
  <w:footnote w:id="115">
    <w:p w14:paraId="2A59F5BE" w14:textId="26C7471D" w:rsidR="00C13AFA" w:rsidRDefault="00C13AFA">
      <w:pPr>
        <w:pStyle w:val="ad"/>
      </w:pPr>
      <w:r>
        <w:rPr>
          <w:rStyle w:val="ae"/>
        </w:rPr>
        <w:footnoteRef/>
      </w:r>
      <w:r>
        <w:t xml:space="preserve"> </w:t>
      </w:r>
      <w:proofErr w:type="spellStart"/>
      <w:r w:rsidRPr="00D07C8E">
        <w:t>Mailway</w:t>
      </w:r>
      <w:proofErr w:type="spellEnd"/>
      <w:r w:rsidRPr="00D07C8E">
        <w:t xml:space="preserve"> (Southern) Ltd v </w:t>
      </w:r>
      <w:proofErr w:type="spellStart"/>
      <w:r w:rsidRPr="00D07C8E">
        <w:t>Willsher</w:t>
      </w:r>
      <w:proofErr w:type="spellEnd"/>
      <w:r w:rsidRPr="00D07C8E">
        <w:t xml:space="preserve"> [1978] ICR 513F (EAT).</w:t>
      </w:r>
    </w:p>
  </w:footnote>
  <w:footnote w:id="116">
    <w:p w14:paraId="289B1899" w14:textId="6A1454C9" w:rsidR="00C13AFA" w:rsidRDefault="00C13AFA">
      <w:pPr>
        <w:pStyle w:val="ad"/>
      </w:pPr>
      <w:r>
        <w:rPr>
          <w:rStyle w:val="ae"/>
        </w:rPr>
        <w:footnoteRef/>
      </w:r>
      <w:r>
        <w:t xml:space="preserve"> </w:t>
      </w:r>
      <w:r w:rsidRPr="00D07C8E">
        <w:t xml:space="preserve">Not unlike online platforms such as Amazon’s ‘Mechanical Turks’. See J Horton, ‘Online Labor Markets’ in A </w:t>
      </w:r>
      <w:proofErr w:type="spellStart"/>
      <w:r w:rsidRPr="00D07C8E">
        <w:t>Saberi</w:t>
      </w:r>
      <w:proofErr w:type="spellEnd"/>
      <w:r w:rsidRPr="00D07C8E">
        <w:t xml:space="preserve"> (Ed) WINE 2010 (Springer, Berlin 2010) 515.</w:t>
      </w:r>
    </w:p>
  </w:footnote>
  <w:footnote w:id="117">
    <w:p w14:paraId="5CBFB142" w14:textId="0D54A17B" w:rsidR="00C13AFA" w:rsidRDefault="00C13AFA">
      <w:pPr>
        <w:pStyle w:val="ad"/>
      </w:pPr>
      <w:r>
        <w:rPr>
          <w:rStyle w:val="ae"/>
        </w:rPr>
        <w:footnoteRef/>
      </w:r>
      <w:r>
        <w:t xml:space="preserve"> </w:t>
      </w:r>
      <w:r w:rsidRPr="00D07C8E">
        <w:t xml:space="preserve">J O’Connor, ‘Precarious Employment and EU Employment Regulation’ in G </w:t>
      </w:r>
      <w:proofErr w:type="spellStart"/>
      <w:r w:rsidRPr="00D07C8E">
        <w:t>Ramia</w:t>
      </w:r>
      <w:proofErr w:type="spellEnd"/>
      <w:r w:rsidRPr="00D07C8E">
        <w:t>, K Farnsworth and Z Irving, Social Policy Review 25: Analysis and Debate in Social Policy’ (OUP 2013) 228.</w:t>
      </w:r>
    </w:p>
  </w:footnote>
  <w:footnote w:id="118">
    <w:p w14:paraId="40EEAD14" w14:textId="3444F111" w:rsidR="00C13AFA" w:rsidRDefault="00C13AFA">
      <w:pPr>
        <w:pStyle w:val="ad"/>
      </w:pPr>
      <w:r>
        <w:rPr>
          <w:rStyle w:val="ae"/>
        </w:rPr>
        <w:footnoteRef/>
      </w:r>
      <w:r>
        <w:t xml:space="preserve"> </w:t>
      </w:r>
      <w:r w:rsidRPr="00D07C8E">
        <w:t xml:space="preserve">N </w:t>
      </w:r>
      <w:proofErr w:type="spellStart"/>
      <w:r w:rsidRPr="00D07C8E">
        <w:t>Busyby</w:t>
      </w:r>
      <w:proofErr w:type="spellEnd"/>
      <w:r w:rsidRPr="00D07C8E">
        <w:t xml:space="preserve"> and M McDermont, ‘Workers, </w:t>
      </w:r>
      <w:proofErr w:type="spellStart"/>
      <w:r w:rsidRPr="00D07C8E">
        <w:t>Marginalised</w:t>
      </w:r>
      <w:proofErr w:type="spellEnd"/>
      <w:r w:rsidRPr="00D07C8E">
        <w:t xml:space="preserve"> Voices and the Employment Tribunal System: Some Preliminary Findings’ (2012) 41 ILJ 166; citing in </w:t>
      </w:r>
      <w:proofErr w:type="spellStart"/>
      <w:r w:rsidRPr="00D07C8E">
        <w:t>fn</w:t>
      </w:r>
      <w:proofErr w:type="spellEnd"/>
      <w:r w:rsidRPr="00D07C8E">
        <w:t xml:space="preserve"> 3 DTI, Success at Work: Protecting Vulnerable Workers, Supporting Good Employers. (London, 2006) [25].</w:t>
      </w:r>
    </w:p>
  </w:footnote>
  <w:footnote w:id="119">
    <w:p w14:paraId="450E424C" w14:textId="05B2645E" w:rsidR="00C13AFA" w:rsidRDefault="00C13AFA">
      <w:pPr>
        <w:pStyle w:val="ad"/>
      </w:pPr>
      <w:r>
        <w:rPr>
          <w:rStyle w:val="ae"/>
        </w:rPr>
        <w:footnoteRef/>
      </w:r>
      <w:r>
        <w:t xml:space="preserve"> </w:t>
      </w:r>
      <w:r w:rsidRPr="00D07C8E">
        <w:t xml:space="preserve">T </w:t>
      </w:r>
      <w:proofErr w:type="spellStart"/>
      <w:r w:rsidRPr="00D07C8E">
        <w:t>Shildrick</w:t>
      </w:r>
      <w:proofErr w:type="spellEnd"/>
      <w:r w:rsidRPr="00D07C8E">
        <w:t>, R MacDonald and C Webster, Poverty and Insecurity: Life in Low-Pay, No-Pay Britain (OUP 2012) 24</w:t>
      </w:r>
    </w:p>
  </w:footnote>
  <w:footnote w:id="120">
    <w:p w14:paraId="24A64A48" w14:textId="17AE58D0" w:rsidR="00C13AFA" w:rsidRDefault="00C13AFA">
      <w:pPr>
        <w:pStyle w:val="ad"/>
      </w:pPr>
      <w:r>
        <w:rPr>
          <w:rStyle w:val="ae"/>
        </w:rPr>
        <w:footnoteRef/>
      </w:r>
      <w:r>
        <w:t xml:space="preserve"> </w:t>
      </w:r>
      <w:r w:rsidRPr="00D07C8E">
        <w:t xml:space="preserve">Zero Hours Contracts HC Bill (2013-14) 79 [‘ZHC Bill’]. The Bill was presented as a Private Member’s Bill on </w:t>
      </w:r>
      <w:proofErr w:type="gramStart"/>
      <w:r w:rsidRPr="00D07C8E">
        <w:t>24 June 2013, and</w:t>
      </w:r>
      <w:proofErr w:type="gramEnd"/>
      <w:r w:rsidRPr="00D07C8E">
        <w:t xml:space="preserve"> nominated for second reading on 6 June 2014. As Parliament did sit on that day, the progress of the Bill is uncertain. See http://services.parliament.uk/bills/2013-14/zerohourscontracts.html accessed 6 June 2014. cl 1(1).</w:t>
      </w:r>
    </w:p>
  </w:footnote>
  <w:footnote w:id="121">
    <w:p w14:paraId="52F75AC7" w14:textId="547ECA79" w:rsidR="00C13AFA" w:rsidRDefault="00C13AFA">
      <w:pPr>
        <w:pStyle w:val="ad"/>
      </w:pPr>
      <w:r>
        <w:rPr>
          <w:rStyle w:val="ae"/>
        </w:rPr>
        <w:footnoteRef/>
      </w:r>
      <w:r>
        <w:t xml:space="preserve"> </w:t>
      </w:r>
      <w:r w:rsidRPr="0083368E">
        <w:t xml:space="preserve">Zero Hours Contracts HC Bill (2013-14) 79 [‘ZHC Bill’]. The Bill was presented as a Private Member’s Bill on </w:t>
      </w:r>
      <w:proofErr w:type="gramStart"/>
      <w:r w:rsidRPr="0083368E">
        <w:t>24 June 2013, and</w:t>
      </w:r>
      <w:proofErr w:type="gramEnd"/>
      <w:r w:rsidRPr="0083368E">
        <w:t xml:space="preserve"> nominated for second reading on 6 June 2014. As Parliament did sit on that day, the progress of the Bill is uncertain. See http://services.parliament.uk/bills/2013-14/zerohourscontracts.html accessed 6 June 2014. cl 1(3).</w:t>
      </w:r>
    </w:p>
  </w:footnote>
  <w:footnote w:id="122">
    <w:p w14:paraId="022F8DFB" w14:textId="6B283DD8" w:rsidR="00C13AFA" w:rsidRDefault="00C13AFA">
      <w:pPr>
        <w:pStyle w:val="ad"/>
      </w:pPr>
      <w:r>
        <w:rPr>
          <w:rStyle w:val="ae"/>
        </w:rPr>
        <w:footnoteRef/>
      </w:r>
      <w:r>
        <w:t xml:space="preserve"> </w:t>
      </w:r>
      <w:r w:rsidRPr="0083368E">
        <w:t>BIS, Consultation: Zero Hours Employment Contracts (London, December 2013) [‘Consultation’] [11]</w:t>
      </w:r>
    </w:p>
  </w:footnote>
  <w:footnote w:id="123">
    <w:p w14:paraId="70A75B83" w14:textId="5523F5C8" w:rsidR="00C13AFA" w:rsidRDefault="00C13AFA">
      <w:pPr>
        <w:pStyle w:val="ad"/>
      </w:pPr>
      <w:r>
        <w:rPr>
          <w:rStyle w:val="ae"/>
        </w:rPr>
        <w:footnoteRef/>
      </w:r>
      <w:r>
        <w:t xml:space="preserve"> </w:t>
      </w:r>
      <w:r w:rsidRPr="0083368E">
        <w:t>BIS, Consultation: Zero Hours Employment Contracts (London, December 2013) [‘Consultation’] [11]</w:t>
      </w:r>
    </w:p>
  </w:footnote>
  <w:footnote w:id="124">
    <w:p w14:paraId="370A3F32" w14:textId="7902EA51" w:rsidR="00C13AFA" w:rsidRDefault="00C13AFA">
      <w:pPr>
        <w:pStyle w:val="ad"/>
      </w:pPr>
      <w:r>
        <w:rPr>
          <w:rStyle w:val="ae"/>
        </w:rPr>
        <w:footnoteRef/>
      </w:r>
      <w:r>
        <w:t xml:space="preserve"> </w:t>
      </w:r>
      <w:r w:rsidRPr="0083368E">
        <w:t>BIS, Consultation: Zero Hours Employment Contracts (London, December 2013) [‘Consultation’] [12].</w:t>
      </w:r>
    </w:p>
  </w:footnote>
  <w:footnote w:id="125">
    <w:p w14:paraId="0F9D3E02" w14:textId="3A34934F" w:rsidR="00C13AFA" w:rsidRDefault="00C13AFA">
      <w:pPr>
        <w:pStyle w:val="ad"/>
      </w:pPr>
      <w:r>
        <w:rPr>
          <w:rStyle w:val="ae"/>
        </w:rPr>
        <w:footnoteRef/>
      </w:r>
      <w:r>
        <w:t xml:space="preserve"> </w:t>
      </w:r>
      <w:r w:rsidRPr="0083368E">
        <w:t>BIS, Consultation: Zero Hours Employment Contracts (London, December 2013) [‘Consultation’] [13].</w:t>
      </w:r>
    </w:p>
  </w:footnote>
  <w:footnote w:id="126">
    <w:p w14:paraId="6F85659F" w14:textId="3D60B971" w:rsidR="00C13AFA" w:rsidRDefault="00C13AFA">
      <w:pPr>
        <w:pStyle w:val="ad"/>
      </w:pPr>
      <w:r>
        <w:rPr>
          <w:rStyle w:val="ae"/>
        </w:rPr>
        <w:footnoteRef/>
      </w:r>
      <w:r>
        <w:t xml:space="preserve"> </w:t>
      </w:r>
      <w:r w:rsidRPr="0083368E">
        <w:t>A fact realized by the Office for National Statistics (ONS)’ most recent definitional attempts, introducing the notion of ‘Contracts that do not guarantee a minimum number of hours’ (‘NGHCs’): ONS, Analysis of Employee Contracts that do no Guarantee a Minimum Number of Hours (London 2014) 4-5.</w:t>
      </w:r>
    </w:p>
  </w:footnote>
  <w:footnote w:id="127">
    <w:p w14:paraId="39520C2C" w14:textId="47DB7936" w:rsidR="00C13AFA" w:rsidRDefault="00C13AFA">
      <w:pPr>
        <w:pStyle w:val="ad"/>
      </w:pPr>
      <w:r>
        <w:rPr>
          <w:rStyle w:val="ae"/>
        </w:rPr>
        <w:footnoteRef/>
      </w:r>
      <w:r>
        <w:t xml:space="preserve"> </w:t>
      </w:r>
      <w:r w:rsidRPr="0083368E">
        <w:t xml:space="preserve">H Collins, K Ewing and A </w:t>
      </w:r>
      <w:proofErr w:type="spellStart"/>
      <w:r w:rsidRPr="0083368E">
        <w:t>McColgan</w:t>
      </w:r>
      <w:proofErr w:type="spellEnd"/>
      <w:r w:rsidRPr="0083368E">
        <w:t xml:space="preserve">, </w:t>
      </w:r>
      <w:proofErr w:type="spellStart"/>
      <w:r w:rsidRPr="0083368E">
        <w:t>Labour</w:t>
      </w:r>
      <w:proofErr w:type="spellEnd"/>
      <w:r w:rsidRPr="0083368E">
        <w:t xml:space="preserve"> Law (CUP 2012) 243.</w:t>
      </w:r>
    </w:p>
  </w:footnote>
  <w:footnote w:id="128">
    <w:p w14:paraId="159FDE92" w14:textId="26914A60" w:rsidR="00C13AFA" w:rsidRDefault="00C13AFA">
      <w:pPr>
        <w:pStyle w:val="ad"/>
      </w:pPr>
      <w:r>
        <w:rPr>
          <w:rStyle w:val="ae"/>
        </w:rPr>
        <w:footnoteRef/>
      </w:r>
      <w:r>
        <w:t xml:space="preserve"> </w:t>
      </w:r>
      <w:r w:rsidRPr="0083368E">
        <w:t xml:space="preserve">S Deakin and G Morris, </w:t>
      </w:r>
      <w:proofErr w:type="spellStart"/>
      <w:r w:rsidRPr="0083368E">
        <w:t>Labour</w:t>
      </w:r>
      <w:proofErr w:type="spellEnd"/>
      <w:r w:rsidRPr="0083368E">
        <w:t xml:space="preserve"> Law (6th </w:t>
      </w:r>
      <w:proofErr w:type="spellStart"/>
      <w:r w:rsidRPr="0083368E">
        <w:t>edn</w:t>
      </w:r>
      <w:proofErr w:type="spellEnd"/>
      <w:r w:rsidRPr="0083368E">
        <w:t xml:space="preserve"> Hart 2012) 167.</w:t>
      </w:r>
    </w:p>
  </w:footnote>
  <w:footnote w:id="129">
    <w:p w14:paraId="2635484F" w14:textId="047FE834" w:rsidR="00C13AFA" w:rsidRDefault="00C13AFA">
      <w:pPr>
        <w:pStyle w:val="ad"/>
      </w:pPr>
      <w:r>
        <w:rPr>
          <w:rStyle w:val="ae"/>
        </w:rPr>
        <w:footnoteRef/>
      </w:r>
      <w:r>
        <w:t xml:space="preserve"> </w:t>
      </w:r>
      <w:r w:rsidRPr="0083368E">
        <w:t xml:space="preserve">M Freedland and N </w:t>
      </w:r>
      <w:proofErr w:type="spellStart"/>
      <w:r w:rsidRPr="0083368E">
        <w:t>Kountouris</w:t>
      </w:r>
      <w:proofErr w:type="spellEnd"/>
      <w:r w:rsidRPr="0083368E">
        <w:t>, The Legal Construction of Personal Work Relations (OUP, 2012) 318-319.</w:t>
      </w:r>
    </w:p>
  </w:footnote>
  <w:footnote w:id="130">
    <w:p w14:paraId="085202FA" w14:textId="51CB1EF9" w:rsidR="00C13AFA" w:rsidRDefault="00C13AFA">
      <w:pPr>
        <w:pStyle w:val="ad"/>
      </w:pPr>
      <w:r>
        <w:rPr>
          <w:rStyle w:val="ae"/>
        </w:rPr>
        <w:footnoteRef/>
      </w:r>
      <w:r>
        <w:t xml:space="preserve"> </w:t>
      </w:r>
      <w:r w:rsidRPr="0083368E">
        <w:t xml:space="preserve">Indeed, ZHC can also </w:t>
      </w:r>
      <w:proofErr w:type="gramStart"/>
      <w:r w:rsidRPr="0083368E">
        <w:t>be seen as</w:t>
      </w:r>
      <w:proofErr w:type="gramEnd"/>
      <w:r w:rsidRPr="0083368E">
        <w:t xml:space="preserve"> a feature in other </w:t>
      </w:r>
      <w:proofErr w:type="spellStart"/>
      <w:r w:rsidRPr="0083368E">
        <w:t>characterisations</w:t>
      </w:r>
      <w:proofErr w:type="spellEnd"/>
      <w:r w:rsidRPr="0083368E">
        <w:t xml:space="preserve">, such as Albin’s notion of ‘personal service work’: E Albin, ‘The Case of </w:t>
      </w:r>
      <w:proofErr w:type="spellStart"/>
      <w:r w:rsidRPr="0083368E">
        <w:t>Qashie</w:t>
      </w:r>
      <w:proofErr w:type="spellEnd"/>
      <w:r w:rsidRPr="0083368E">
        <w:t xml:space="preserve">: Between the </w:t>
      </w:r>
      <w:proofErr w:type="spellStart"/>
      <w:r w:rsidRPr="0083368E">
        <w:t>Legalisation</w:t>
      </w:r>
      <w:proofErr w:type="spellEnd"/>
      <w:r w:rsidRPr="0083368E">
        <w:t xml:space="preserve"> of Sex Work and the Precariousness of Personal Service Work’ (2013) 42 ILJ 180, 186.</w:t>
      </w:r>
    </w:p>
  </w:footnote>
  <w:footnote w:id="131">
    <w:p w14:paraId="365D6B55" w14:textId="5432D692" w:rsidR="00C13AFA" w:rsidRDefault="00C13AFA">
      <w:pPr>
        <w:pStyle w:val="ad"/>
      </w:pPr>
      <w:r>
        <w:rPr>
          <w:rStyle w:val="ae"/>
        </w:rPr>
        <w:footnoteRef/>
      </w:r>
      <w:r>
        <w:t xml:space="preserve"> </w:t>
      </w:r>
      <w:r w:rsidRPr="0083368E">
        <w:t xml:space="preserve">L </w:t>
      </w:r>
      <w:proofErr w:type="spellStart"/>
      <w:r w:rsidRPr="0083368E">
        <w:t>Barmes</w:t>
      </w:r>
      <w:proofErr w:type="spellEnd"/>
      <w:r w:rsidRPr="0083368E">
        <w:t xml:space="preserve">, ‘Learning from Case Law Accounts of </w:t>
      </w:r>
      <w:proofErr w:type="spellStart"/>
      <w:r w:rsidRPr="0083368E">
        <w:t>Marginalised</w:t>
      </w:r>
      <w:proofErr w:type="spellEnd"/>
      <w:r w:rsidRPr="0083368E">
        <w:t xml:space="preserve"> Working’ in J Fudge, S </w:t>
      </w:r>
      <w:proofErr w:type="spellStart"/>
      <w:r w:rsidRPr="0083368E">
        <w:t>McCrystal</w:t>
      </w:r>
      <w:proofErr w:type="spellEnd"/>
      <w:r w:rsidRPr="0083368E">
        <w:t xml:space="preserve"> and K Sankaran (eds), Challenging the Legal Boundaries of Work Regulation (</w:t>
      </w:r>
      <w:proofErr w:type="spellStart"/>
      <w:r w:rsidRPr="0083368E">
        <w:t>Oñati</w:t>
      </w:r>
      <w:proofErr w:type="spellEnd"/>
      <w:r w:rsidRPr="0083368E">
        <w:t xml:space="preserve"> International Series in Law and Society Hart 2012) 305.</w:t>
      </w:r>
    </w:p>
  </w:footnote>
  <w:footnote w:id="132">
    <w:p w14:paraId="1BF8E8A2" w14:textId="1E407351" w:rsidR="00C13AFA" w:rsidRDefault="00C13AFA">
      <w:pPr>
        <w:pStyle w:val="ad"/>
      </w:pPr>
      <w:r>
        <w:rPr>
          <w:rStyle w:val="ae"/>
        </w:rPr>
        <w:footnoteRef/>
      </w:r>
      <w:r>
        <w:t xml:space="preserve"> </w:t>
      </w:r>
      <w:r w:rsidRPr="0083368E">
        <w:t xml:space="preserve">M Pennycook, G Cory, and V </w:t>
      </w:r>
      <w:proofErr w:type="spellStart"/>
      <w:r w:rsidRPr="0083368E">
        <w:t>Alakeson</w:t>
      </w:r>
      <w:proofErr w:type="spellEnd"/>
      <w:r w:rsidRPr="0083368E">
        <w:t>, A Matter of Time: The rise of zero-hours contracts (Resolution Foundation, London 2013). See also several profile-based case studies found throughout the Full Report of the Commission on Vulnerable Employment M Aziz and others, Hard Work, Hidden Lives: The Full Report (TUC Commission on Vulnerable Employment, London 2008).</w:t>
      </w:r>
    </w:p>
  </w:footnote>
  <w:footnote w:id="133">
    <w:p w14:paraId="5BA5B27A" w14:textId="7A38C99C" w:rsidR="00C13AFA" w:rsidRDefault="00C13AFA">
      <w:pPr>
        <w:pStyle w:val="ad"/>
      </w:pPr>
      <w:r>
        <w:rPr>
          <w:rStyle w:val="ae"/>
        </w:rPr>
        <w:footnoteRef/>
      </w:r>
      <w:r>
        <w:t xml:space="preserve"> </w:t>
      </w:r>
      <w:r w:rsidRPr="0083368E">
        <w:t>HC Deb 16 October 2013, vol 567, col 754.</w:t>
      </w:r>
    </w:p>
  </w:footnote>
  <w:footnote w:id="134">
    <w:p w14:paraId="34D94F16" w14:textId="28B0A1A7" w:rsidR="00C13AFA" w:rsidRDefault="00C13AFA">
      <w:pPr>
        <w:pStyle w:val="ad"/>
      </w:pPr>
      <w:r>
        <w:rPr>
          <w:rStyle w:val="ae"/>
        </w:rPr>
        <w:footnoteRef/>
      </w:r>
      <w:r>
        <w:t xml:space="preserve"> </w:t>
      </w:r>
      <w:r w:rsidRPr="0083368E">
        <w:t xml:space="preserve">Dr. Abi Adams, Prof. Mark Freedland, Prof. Jeremias </w:t>
      </w:r>
      <w:proofErr w:type="spellStart"/>
      <w:r w:rsidRPr="0083368E">
        <w:t>Prassl</w:t>
      </w:r>
      <w:proofErr w:type="spellEnd"/>
      <w:r w:rsidRPr="0083368E">
        <w:t xml:space="preserve">, The “Zero-Hours Contract”: Regulating casual work, or legitimating </w:t>
      </w:r>
      <w:proofErr w:type="gramStart"/>
      <w:r w:rsidRPr="0083368E">
        <w:t>precarity?,</w:t>
      </w:r>
      <w:proofErr w:type="gramEnd"/>
      <w:r w:rsidRPr="0083368E">
        <w:t xml:space="preserve"> March 2015, European </w:t>
      </w:r>
      <w:proofErr w:type="spellStart"/>
      <w:r w:rsidRPr="0083368E">
        <w:t>Labour</w:t>
      </w:r>
      <w:proofErr w:type="spellEnd"/>
      <w:r w:rsidRPr="0083368E">
        <w:t xml:space="preserve"> Law Network(ELLN) (Working Paper No. 5. p. 11.</w:t>
      </w:r>
    </w:p>
  </w:footnote>
  <w:footnote w:id="135">
    <w:p w14:paraId="3D113A35" w14:textId="37699283" w:rsidR="00C13AFA" w:rsidRDefault="00C13AFA">
      <w:pPr>
        <w:pStyle w:val="ad"/>
      </w:pPr>
      <w:r>
        <w:rPr>
          <w:rStyle w:val="ae"/>
        </w:rPr>
        <w:footnoteRef/>
      </w:r>
      <w:r>
        <w:t xml:space="preserve"> </w:t>
      </w:r>
      <w:r w:rsidRPr="0083368E">
        <w:t xml:space="preserve">Dr. Abi Adams, Prof. Mark Freedland, Prof. Jeremias </w:t>
      </w:r>
      <w:proofErr w:type="spellStart"/>
      <w:r w:rsidRPr="0083368E">
        <w:t>Prassl</w:t>
      </w:r>
      <w:proofErr w:type="spellEnd"/>
      <w:r w:rsidRPr="0083368E">
        <w:t xml:space="preserve">, The “Zero-Hours Contract”: Regulating casual work, or legitimating </w:t>
      </w:r>
      <w:proofErr w:type="gramStart"/>
      <w:r w:rsidRPr="0083368E">
        <w:t>precarity?,</w:t>
      </w:r>
      <w:proofErr w:type="gramEnd"/>
      <w:r w:rsidRPr="0083368E">
        <w:t xml:space="preserve"> March 2015, European </w:t>
      </w:r>
      <w:proofErr w:type="spellStart"/>
      <w:r w:rsidRPr="0083368E">
        <w:t>Labour</w:t>
      </w:r>
      <w:proofErr w:type="spellEnd"/>
      <w:r w:rsidRPr="0083368E">
        <w:t xml:space="preserve"> Law Network(ELLN) (Working Paper No. 5. p. 11.</w:t>
      </w:r>
    </w:p>
  </w:footnote>
  <w:footnote w:id="136">
    <w:p w14:paraId="384A3033" w14:textId="2B3B0518" w:rsidR="00C13AFA" w:rsidRDefault="00C13AFA">
      <w:pPr>
        <w:pStyle w:val="ad"/>
      </w:pPr>
      <w:r>
        <w:rPr>
          <w:rStyle w:val="ae"/>
        </w:rPr>
        <w:footnoteRef/>
      </w:r>
      <w:r>
        <w:t xml:space="preserve"> </w:t>
      </w:r>
      <w:r w:rsidRPr="0083368E">
        <w:t xml:space="preserve">Dr. Abi Adams, Prof. Mark Freedland, Prof. Jeremias </w:t>
      </w:r>
      <w:proofErr w:type="spellStart"/>
      <w:r w:rsidRPr="0083368E">
        <w:t>Prassl</w:t>
      </w:r>
      <w:proofErr w:type="spellEnd"/>
      <w:r w:rsidRPr="0083368E">
        <w:t xml:space="preserve">, The “Zero-Hours Contract”: Regulating casual work, or legitimating </w:t>
      </w:r>
      <w:proofErr w:type="gramStart"/>
      <w:r w:rsidRPr="0083368E">
        <w:t>precarity?,</w:t>
      </w:r>
      <w:proofErr w:type="gramEnd"/>
      <w:r w:rsidRPr="0083368E">
        <w:t xml:space="preserve"> March 2015, European </w:t>
      </w:r>
      <w:proofErr w:type="spellStart"/>
      <w:r w:rsidRPr="0083368E">
        <w:t>Labour</w:t>
      </w:r>
      <w:proofErr w:type="spellEnd"/>
      <w:r w:rsidRPr="0083368E">
        <w:t xml:space="preserve"> Law Network(ELLN) (Working Paper No. 5. p. 11.</w:t>
      </w:r>
    </w:p>
  </w:footnote>
  <w:footnote w:id="137">
    <w:p w14:paraId="3EC27A55" w14:textId="7B280144" w:rsidR="00C13AFA" w:rsidRDefault="00C13AFA">
      <w:pPr>
        <w:pStyle w:val="ad"/>
      </w:pPr>
      <w:r>
        <w:rPr>
          <w:rStyle w:val="ae"/>
        </w:rPr>
        <w:footnoteRef/>
      </w:r>
      <w:r>
        <w:t xml:space="preserve"> </w:t>
      </w:r>
      <w:r w:rsidRPr="0083368E">
        <w:t xml:space="preserve">M Pennycook, G Cory, and V </w:t>
      </w:r>
      <w:proofErr w:type="spellStart"/>
      <w:r w:rsidRPr="0083368E">
        <w:t>Alakeson</w:t>
      </w:r>
      <w:proofErr w:type="spellEnd"/>
      <w:r w:rsidRPr="0083368E">
        <w:t>, A Matter of Time: The rise of zero-hours contracts (Resolution Foundation, London 2013). See also several profile-based case studies found throughout the Full Report of the Commission on Vulnerable Employment M Aziz and others, Hard Work, Hidden Lives: The Full Report (TUC Commission on Vulnerable Employment, London 2008). 12.</w:t>
      </w:r>
    </w:p>
  </w:footnote>
  <w:footnote w:id="138">
    <w:p w14:paraId="2973E11D" w14:textId="6E667DE7" w:rsidR="00C13AFA" w:rsidRDefault="00C13AFA">
      <w:pPr>
        <w:pStyle w:val="ad"/>
      </w:pPr>
      <w:r>
        <w:rPr>
          <w:rStyle w:val="ae"/>
        </w:rPr>
        <w:footnoteRef/>
      </w:r>
      <w:r>
        <w:t xml:space="preserve"> </w:t>
      </w:r>
      <w:r w:rsidRPr="0083368E">
        <w:t>ONS, ONS Announces Additional Estimate of Zero-Hours Contracts (Press Release, 22 August 2013).</w:t>
      </w:r>
    </w:p>
  </w:footnote>
  <w:footnote w:id="139">
    <w:p w14:paraId="21BAE745" w14:textId="1ED11BFB" w:rsidR="00C13AFA" w:rsidRDefault="00C13AFA">
      <w:pPr>
        <w:pStyle w:val="ad"/>
      </w:pPr>
      <w:r>
        <w:rPr>
          <w:rStyle w:val="ae"/>
        </w:rPr>
        <w:footnoteRef/>
      </w:r>
      <w:r>
        <w:t xml:space="preserve"> </w:t>
      </w:r>
      <w:r w:rsidRPr="0083368E">
        <w:t>ONS, Analysis of Employee Contracts that do no Guarantee a Minimum Number of Hours (London 2014) 4-5.</w:t>
      </w:r>
    </w:p>
  </w:footnote>
  <w:footnote w:id="140">
    <w:p w14:paraId="539D13EA" w14:textId="5DD0A157" w:rsidR="00C13AFA" w:rsidRDefault="00C13AFA">
      <w:pPr>
        <w:pStyle w:val="ad"/>
      </w:pPr>
      <w:r>
        <w:rPr>
          <w:rStyle w:val="ae"/>
        </w:rPr>
        <w:footnoteRef/>
      </w:r>
      <w:r>
        <w:t xml:space="preserve"> </w:t>
      </w:r>
      <w:r w:rsidRPr="0083368E">
        <w:t>ONS, ONS Announces Additional Estimate of Zero-Hours Contracts (Press Release, 22 August 2013). 18-19.</w:t>
      </w:r>
    </w:p>
  </w:footnote>
  <w:footnote w:id="141">
    <w:p w14:paraId="5D1D305E" w14:textId="3B08046A" w:rsidR="00C13AFA" w:rsidRDefault="00C13AFA">
      <w:pPr>
        <w:pStyle w:val="ad"/>
      </w:pPr>
      <w:r>
        <w:rPr>
          <w:rStyle w:val="ae"/>
        </w:rPr>
        <w:footnoteRef/>
      </w:r>
      <w:r>
        <w:t xml:space="preserve"> </w:t>
      </w:r>
      <w:r w:rsidRPr="0083368E">
        <w:t xml:space="preserve">Dr. Abi Adams, Prof. Mark Freedland, Prof. Jeremias </w:t>
      </w:r>
      <w:proofErr w:type="spellStart"/>
      <w:r w:rsidRPr="0083368E">
        <w:t>Prassl</w:t>
      </w:r>
      <w:proofErr w:type="spellEnd"/>
      <w:r w:rsidRPr="0083368E">
        <w:t xml:space="preserve">, The “Zero-Hours Contract”: Regulating casual work, or legitimating </w:t>
      </w:r>
      <w:proofErr w:type="gramStart"/>
      <w:r w:rsidRPr="0083368E">
        <w:t>precarity?,</w:t>
      </w:r>
      <w:proofErr w:type="gramEnd"/>
      <w:r w:rsidRPr="0083368E">
        <w:t xml:space="preserve"> March 2015, European </w:t>
      </w:r>
      <w:proofErr w:type="spellStart"/>
      <w:r w:rsidRPr="0083368E">
        <w:t>Labour</w:t>
      </w:r>
      <w:proofErr w:type="spellEnd"/>
      <w:r w:rsidRPr="0083368E">
        <w:t xml:space="preserve"> Law Network(ELLN) (Working Paper No. 5. p. 12.</w:t>
      </w:r>
    </w:p>
  </w:footnote>
  <w:footnote w:id="142">
    <w:p w14:paraId="57DBE51D" w14:textId="472C8CA6" w:rsidR="00C13AFA" w:rsidRDefault="00C13AFA">
      <w:pPr>
        <w:pStyle w:val="ad"/>
      </w:pPr>
      <w:r>
        <w:rPr>
          <w:rStyle w:val="ae"/>
        </w:rPr>
        <w:footnoteRef/>
      </w:r>
      <w:r>
        <w:t xml:space="preserve"> </w:t>
      </w:r>
      <w:r w:rsidRPr="0083368E">
        <w:t xml:space="preserve">M Freedland and N </w:t>
      </w:r>
      <w:proofErr w:type="spellStart"/>
      <w:r w:rsidRPr="0083368E">
        <w:t>Kountouris</w:t>
      </w:r>
      <w:proofErr w:type="spellEnd"/>
      <w:r w:rsidRPr="0083368E">
        <w:t>, The Legal Construction of Personal Work Relations (OUP, 2012) 319.</w:t>
      </w:r>
    </w:p>
  </w:footnote>
  <w:footnote w:id="143">
    <w:p w14:paraId="28A2BC3E" w14:textId="725F5253" w:rsidR="00C13AFA" w:rsidRDefault="00C13AFA">
      <w:pPr>
        <w:pStyle w:val="ad"/>
      </w:pPr>
      <w:r>
        <w:rPr>
          <w:rStyle w:val="ae"/>
        </w:rPr>
        <w:footnoteRef/>
      </w:r>
      <w:r>
        <w:t xml:space="preserve"> </w:t>
      </w:r>
      <w:r w:rsidRPr="0083368E">
        <w:t>BIS, Consultation: Zero Hours Employment Contracts (London, December 2013) [‘Consultation’] [13].</w:t>
      </w:r>
    </w:p>
  </w:footnote>
  <w:footnote w:id="144">
    <w:p w14:paraId="7580D549" w14:textId="1166260A" w:rsidR="00C13AFA" w:rsidRDefault="00C13AFA">
      <w:pPr>
        <w:pStyle w:val="ad"/>
      </w:pPr>
      <w:r>
        <w:rPr>
          <w:rStyle w:val="ae"/>
        </w:rPr>
        <w:footnoteRef/>
      </w:r>
      <w:r>
        <w:t xml:space="preserve"> </w:t>
      </w:r>
      <w:r w:rsidRPr="0083368E">
        <w:t xml:space="preserve">E Peel, </w:t>
      </w:r>
      <w:proofErr w:type="spellStart"/>
      <w:r w:rsidRPr="0083368E">
        <w:t>Treitel’s</w:t>
      </w:r>
      <w:proofErr w:type="spellEnd"/>
      <w:r w:rsidRPr="0083368E">
        <w:t xml:space="preserve"> Law of Contract (13th ed, Sweet &amp; Maxwell 2011) [11-011] ff.</w:t>
      </w:r>
    </w:p>
  </w:footnote>
  <w:footnote w:id="145">
    <w:p w14:paraId="4BF5945F" w14:textId="13B046B3" w:rsidR="00C13AFA" w:rsidRDefault="00C13AFA">
      <w:pPr>
        <w:pStyle w:val="ad"/>
      </w:pPr>
      <w:r>
        <w:rPr>
          <w:rStyle w:val="ae"/>
        </w:rPr>
        <w:footnoteRef/>
      </w:r>
      <w:r>
        <w:t xml:space="preserve"> </w:t>
      </w:r>
      <w:r w:rsidRPr="0083368E">
        <w:t xml:space="preserve">E Peel, </w:t>
      </w:r>
      <w:proofErr w:type="spellStart"/>
      <w:r w:rsidRPr="0083368E">
        <w:t>Treitel’s</w:t>
      </w:r>
      <w:proofErr w:type="spellEnd"/>
      <w:r w:rsidRPr="0083368E">
        <w:t xml:space="preserve"> Law of Contract (13th ed, Sweet &amp; Maxwell 2011) [11-032] ff. Also see S Deakin and G Morris, </w:t>
      </w:r>
      <w:proofErr w:type="spellStart"/>
      <w:r w:rsidRPr="0083368E">
        <w:t>Labour</w:t>
      </w:r>
      <w:proofErr w:type="spellEnd"/>
      <w:r w:rsidRPr="0083368E">
        <w:t xml:space="preserve"> Law (6th </w:t>
      </w:r>
      <w:proofErr w:type="spellStart"/>
      <w:r w:rsidRPr="0083368E">
        <w:t>edn</w:t>
      </w:r>
      <w:proofErr w:type="spellEnd"/>
      <w:r w:rsidRPr="0083368E">
        <w:t xml:space="preserve"> Hart 2012) 156-159.</w:t>
      </w:r>
    </w:p>
  </w:footnote>
  <w:footnote w:id="146">
    <w:p w14:paraId="7872BE9F" w14:textId="071EC941" w:rsidR="00C13AFA" w:rsidRDefault="00C13AFA">
      <w:pPr>
        <w:pStyle w:val="ad"/>
      </w:pPr>
      <w:r>
        <w:rPr>
          <w:rStyle w:val="ae"/>
        </w:rPr>
        <w:footnoteRef/>
      </w:r>
      <w:r>
        <w:t xml:space="preserve"> </w:t>
      </w:r>
      <w:r w:rsidRPr="0083368E">
        <w:t xml:space="preserve">M Freedland, The Contract of Employment (OUP 1976); J </w:t>
      </w:r>
      <w:proofErr w:type="spellStart"/>
      <w:r w:rsidRPr="0083368E">
        <w:t>Prassl</w:t>
      </w:r>
      <w:proofErr w:type="spellEnd"/>
      <w:r w:rsidRPr="0083368E">
        <w:t>, ‘The Notion of the Employer’ (2013) 129 LQR 380, 381-382.</w:t>
      </w:r>
    </w:p>
  </w:footnote>
  <w:footnote w:id="147">
    <w:p w14:paraId="7DD214D4" w14:textId="7901D317" w:rsidR="00C13AFA" w:rsidRDefault="00C13AFA">
      <w:pPr>
        <w:pStyle w:val="ad"/>
      </w:pPr>
      <w:r>
        <w:rPr>
          <w:rStyle w:val="ae"/>
        </w:rPr>
        <w:footnoteRef/>
      </w:r>
      <w:r>
        <w:t xml:space="preserve"> </w:t>
      </w:r>
      <w:r w:rsidRPr="0083368E">
        <w:t xml:space="preserve">S Deakin, ‘The Evolution of the Contract of Employment, 1900 to 1950 - the Influence of the Welfare State’ in N Whiteside and R </w:t>
      </w:r>
      <w:proofErr w:type="spellStart"/>
      <w:r w:rsidRPr="0083368E">
        <w:t>Salais</w:t>
      </w:r>
      <w:proofErr w:type="spellEnd"/>
      <w:r w:rsidRPr="0083368E">
        <w:t xml:space="preserve"> (eds), Governance, Industry and </w:t>
      </w:r>
      <w:proofErr w:type="spellStart"/>
      <w:r w:rsidRPr="0083368E">
        <w:t>Labour</w:t>
      </w:r>
      <w:proofErr w:type="spellEnd"/>
      <w:r w:rsidRPr="0083368E">
        <w:t xml:space="preserve"> Markets in Britain and France - The </w:t>
      </w:r>
      <w:proofErr w:type="spellStart"/>
      <w:r w:rsidRPr="0083368E">
        <w:t>Modernising</w:t>
      </w:r>
      <w:proofErr w:type="spellEnd"/>
      <w:r w:rsidRPr="0083368E">
        <w:t xml:space="preserve"> State in the </w:t>
      </w:r>
      <w:proofErr w:type="spellStart"/>
      <w:r w:rsidRPr="0083368E">
        <w:t>MidTwentieth</w:t>
      </w:r>
      <w:proofErr w:type="spellEnd"/>
      <w:r w:rsidRPr="0083368E">
        <w:t xml:space="preserve"> Century (Routledge 1998) 225.</w:t>
      </w:r>
    </w:p>
  </w:footnote>
  <w:footnote w:id="148">
    <w:p w14:paraId="7FE56E24" w14:textId="5F169609" w:rsidR="00C13AFA" w:rsidRDefault="00C13AFA">
      <w:pPr>
        <w:pStyle w:val="ad"/>
      </w:pPr>
      <w:r>
        <w:rPr>
          <w:rStyle w:val="ae"/>
        </w:rPr>
        <w:footnoteRef/>
      </w:r>
      <w:r>
        <w:t xml:space="preserve"> </w:t>
      </w:r>
      <w:r w:rsidRPr="0083368E">
        <w:t xml:space="preserve">Dr. Abi Adams, Prof. Mark Freedland, Prof. Jeremias </w:t>
      </w:r>
      <w:proofErr w:type="spellStart"/>
      <w:r w:rsidRPr="0083368E">
        <w:t>Prassl</w:t>
      </w:r>
      <w:proofErr w:type="spellEnd"/>
      <w:r w:rsidRPr="0083368E">
        <w:t xml:space="preserve">, The “Zero-Hours Contract”: Regulating casual work, or legitimating </w:t>
      </w:r>
      <w:proofErr w:type="gramStart"/>
      <w:r w:rsidRPr="0083368E">
        <w:t>precarity?,</w:t>
      </w:r>
      <w:proofErr w:type="gramEnd"/>
      <w:r w:rsidRPr="0083368E">
        <w:t xml:space="preserve"> March 2015, European </w:t>
      </w:r>
      <w:proofErr w:type="spellStart"/>
      <w:r w:rsidRPr="0083368E">
        <w:t>Labour</w:t>
      </w:r>
      <w:proofErr w:type="spellEnd"/>
      <w:r w:rsidRPr="0083368E">
        <w:t xml:space="preserve"> Law Network(ELLN) (Working Paper No. 5. p. 13.</w:t>
      </w:r>
    </w:p>
  </w:footnote>
  <w:footnote w:id="149">
    <w:p w14:paraId="6B666607" w14:textId="76BC69E1" w:rsidR="00C13AFA" w:rsidRDefault="00C13AFA">
      <w:pPr>
        <w:pStyle w:val="ad"/>
      </w:pPr>
      <w:r>
        <w:rPr>
          <w:rStyle w:val="ae"/>
        </w:rPr>
        <w:footnoteRef/>
      </w:r>
      <w:r>
        <w:t xml:space="preserve"> </w:t>
      </w:r>
      <w:r w:rsidRPr="0083368E">
        <w:t>ERA 1996, s 230(1).</w:t>
      </w:r>
    </w:p>
  </w:footnote>
  <w:footnote w:id="150">
    <w:p w14:paraId="5966252B" w14:textId="54FB8900" w:rsidR="00C13AFA" w:rsidRDefault="00C13AFA">
      <w:pPr>
        <w:pStyle w:val="ad"/>
      </w:pPr>
      <w:r>
        <w:rPr>
          <w:rStyle w:val="ae"/>
        </w:rPr>
        <w:footnoteRef/>
      </w:r>
      <w:r>
        <w:t xml:space="preserve"> </w:t>
      </w:r>
      <w:r w:rsidRPr="0083368E">
        <w:t xml:space="preserve">Dr. Abi Adams, Prof. Mark Freedland, Prof. Jeremias </w:t>
      </w:r>
      <w:proofErr w:type="spellStart"/>
      <w:r w:rsidRPr="0083368E">
        <w:t>Prassl</w:t>
      </w:r>
      <w:proofErr w:type="spellEnd"/>
      <w:r w:rsidRPr="0083368E">
        <w:t xml:space="preserve">, The “Zero-Hours Contract”: Regulating casual work, or legitimating </w:t>
      </w:r>
      <w:proofErr w:type="gramStart"/>
      <w:r w:rsidRPr="0083368E">
        <w:t>precarity?,</w:t>
      </w:r>
      <w:proofErr w:type="gramEnd"/>
      <w:r w:rsidRPr="0083368E">
        <w:t xml:space="preserve"> March 2015, European </w:t>
      </w:r>
      <w:proofErr w:type="spellStart"/>
      <w:r w:rsidRPr="0083368E">
        <w:t>Labour</w:t>
      </w:r>
      <w:proofErr w:type="spellEnd"/>
      <w:r w:rsidRPr="0083368E">
        <w:t xml:space="preserve"> Law Network(ELLN) (Working Paper No. 5. p. 13.</w:t>
      </w:r>
    </w:p>
  </w:footnote>
  <w:footnote w:id="151">
    <w:p w14:paraId="160886CD" w14:textId="671C62F2" w:rsidR="00C13AFA" w:rsidRDefault="00C13AFA">
      <w:pPr>
        <w:pStyle w:val="ad"/>
      </w:pPr>
      <w:r>
        <w:rPr>
          <w:rStyle w:val="ae"/>
        </w:rPr>
        <w:footnoteRef/>
      </w:r>
      <w:r>
        <w:t xml:space="preserve"> </w:t>
      </w:r>
      <w:r w:rsidRPr="0083368E">
        <w:t>ERA 1996, s 230(3).</w:t>
      </w:r>
    </w:p>
  </w:footnote>
  <w:footnote w:id="152">
    <w:p w14:paraId="343370DE" w14:textId="6D916C71" w:rsidR="00C13AFA" w:rsidRDefault="00C13AFA">
      <w:pPr>
        <w:pStyle w:val="ad"/>
      </w:pPr>
      <w:r>
        <w:rPr>
          <w:rStyle w:val="ae"/>
        </w:rPr>
        <w:footnoteRef/>
      </w:r>
      <w:r>
        <w:t xml:space="preserve"> </w:t>
      </w:r>
      <w:r w:rsidRPr="0083368E">
        <w:t xml:space="preserve">For a full overview, see S Deakin and G Morris, </w:t>
      </w:r>
      <w:proofErr w:type="spellStart"/>
      <w:r w:rsidRPr="0083368E">
        <w:t>Labour</w:t>
      </w:r>
      <w:proofErr w:type="spellEnd"/>
      <w:r w:rsidRPr="0083368E">
        <w:t xml:space="preserve"> Law (6th </w:t>
      </w:r>
      <w:proofErr w:type="spellStart"/>
      <w:r w:rsidRPr="0083368E">
        <w:t>edn</w:t>
      </w:r>
      <w:proofErr w:type="spellEnd"/>
      <w:r w:rsidRPr="0083368E">
        <w:t xml:space="preserve"> Hart 2012) 145ff.</w:t>
      </w:r>
    </w:p>
  </w:footnote>
  <w:footnote w:id="153">
    <w:p w14:paraId="566DD5D5" w14:textId="480E6E5F" w:rsidR="00C13AFA" w:rsidRDefault="00C13AFA">
      <w:pPr>
        <w:pStyle w:val="ad"/>
      </w:pPr>
      <w:r>
        <w:rPr>
          <w:rStyle w:val="ae"/>
        </w:rPr>
        <w:footnoteRef/>
      </w:r>
      <w:r>
        <w:t xml:space="preserve"> </w:t>
      </w:r>
      <w:r w:rsidRPr="0083368E">
        <w:t xml:space="preserve">Dr. Abi Adams, Prof. Mark Freedland, Prof. Jeremias </w:t>
      </w:r>
      <w:proofErr w:type="spellStart"/>
      <w:r w:rsidRPr="0083368E">
        <w:t>Prassl</w:t>
      </w:r>
      <w:proofErr w:type="spellEnd"/>
      <w:r w:rsidRPr="0083368E">
        <w:t xml:space="preserve">, The “Zero-Hours Contract”: Regulating casual work, or legitimating </w:t>
      </w:r>
      <w:proofErr w:type="gramStart"/>
      <w:r w:rsidRPr="0083368E">
        <w:t>precarity?,</w:t>
      </w:r>
      <w:proofErr w:type="gramEnd"/>
      <w:r w:rsidRPr="0083368E">
        <w:t xml:space="preserve"> March 2015, European </w:t>
      </w:r>
      <w:proofErr w:type="spellStart"/>
      <w:r w:rsidRPr="0083368E">
        <w:t>Labour</w:t>
      </w:r>
      <w:proofErr w:type="spellEnd"/>
      <w:r w:rsidRPr="0083368E">
        <w:t xml:space="preserve"> Law Network(ELLN) (Working Paper No. 5. p. 14.</w:t>
      </w:r>
    </w:p>
  </w:footnote>
  <w:footnote w:id="154">
    <w:p w14:paraId="7247EE22" w14:textId="5D099801" w:rsidR="00C13AFA" w:rsidRDefault="00C13AFA">
      <w:pPr>
        <w:pStyle w:val="ad"/>
      </w:pPr>
      <w:r>
        <w:rPr>
          <w:rStyle w:val="ae"/>
        </w:rPr>
        <w:footnoteRef/>
      </w:r>
      <w:r>
        <w:t xml:space="preserve"> </w:t>
      </w:r>
      <w:r w:rsidRPr="0083368E">
        <w:t xml:space="preserve">S Deakin and G Morris, </w:t>
      </w:r>
      <w:proofErr w:type="spellStart"/>
      <w:r w:rsidRPr="0083368E">
        <w:t>Labour</w:t>
      </w:r>
      <w:proofErr w:type="spellEnd"/>
      <w:r w:rsidRPr="0083368E">
        <w:t xml:space="preserve"> Law (6th </w:t>
      </w:r>
      <w:proofErr w:type="spellStart"/>
      <w:r w:rsidRPr="0083368E">
        <w:t>edn</w:t>
      </w:r>
      <w:proofErr w:type="spellEnd"/>
      <w:r w:rsidRPr="0083368E">
        <w:t xml:space="preserve"> Hart 2012)164-168. Though </w:t>
      </w:r>
      <w:proofErr w:type="spellStart"/>
      <w:r w:rsidRPr="0083368E">
        <w:t>cf</w:t>
      </w:r>
      <w:proofErr w:type="spellEnd"/>
      <w:r w:rsidRPr="0083368E">
        <w:t xml:space="preserve"> now N </w:t>
      </w:r>
      <w:proofErr w:type="spellStart"/>
      <w:r w:rsidRPr="0083368E">
        <w:t>Countouris</w:t>
      </w:r>
      <w:proofErr w:type="spellEnd"/>
      <w:r w:rsidRPr="0083368E">
        <w:t xml:space="preserve"> ‘Uses and </w:t>
      </w:r>
      <w:proofErr w:type="spellStart"/>
      <w:r w:rsidRPr="0083368E">
        <w:t>Misues</w:t>
      </w:r>
      <w:proofErr w:type="spellEnd"/>
      <w:r w:rsidRPr="0083368E">
        <w:t xml:space="preserve"> of “Mutuality of Obligations” and the Autonomy of </w:t>
      </w:r>
      <w:proofErr w:type="spellStart"/>
      <w:r w:rsidRPr="0083368E">
        <w:t>Labour</w:t>
      </w:r>
      <w:proofErr w:type="spellEnd"/>
      <w:r w:rsidRPr="0083368E">
        <w:t xml:space="preserve"> Law’ in A </w:t>
      </w:r>
      <w:proofErr w:type="spellStart"/>
      <w:r w:rsidRPr="0083368E">
        <w:t>Bogg</w:t>
      </w:r>
      <w:proofErr w:type="spellEnd"/>
      <w:r w:rsidRPr="0083368E">
        <w:t xml:space="preserve">, C Costello, A Davies and J </w:t>
      </w:r>
      <w:proofErr w:type="spellStart"/>
      <w:r w:rsidRPr="0083368E">
        <w:t>Prassl</w:t>
      </w:r>
      <w:proofErr w:type="spellEnd"/>
      <w:r w:rsidRPr="0083368E">
        <w:t xml:space="preserve">, The Autonomy of </w:t>
      </w:r>
      <w:proofErr w:type="spellStart"/>
      <w:r w:rsidRPr="0083368E">
        <w:t>Labour</w:t>
      </w:r>
      <w:proofErr w:type="spellEnd"/>
      <w:r w:rsidRPr="0083368E">
        <w:t xml:space="preserve"> Law (forthcoming Hart 2014).</w:t>
      </w:r>
    </w:p>
  </w:footnote>
  <w:footnote w:id="155">
    <w:p w14:paraId="54FB59CD" w14:textId="78E9DE43" w:rsidR="00C13AFA" w:rsidRDefault="00C13AFA">
      <w:pPr>
        <w:pStyle w:val="ad"/>
      </w:pPr>
      <w:r>
        <w:rPr>
          <w:rStyle w:val="ae"/>
        </w:rPr>
        <w:footnoteRef/>
      </w:r>
      <w:r>
        <w:t xml:space="preserve"> </w:t>
      </w:r>
      <w:proofErr w:type="spellStart"/>
      <w:r w:rsidRPr="0083368E">
        <w:t>Nethermere</w:t>
      </w:r>
      <w:proofErr w:type="spellEnd"/>
      <w:r w:rsidRPr="0083368E">
        <w:t xml:space="preserve"> (St Neots) Ltd v Gardiner [1984] ICR 612 (CA) 632F–G.</w:t>
      </w:r>
    </w:p>
  </w:footnote>
  <w:footnote w:id="156">
    <w:p w14:paraId="372C9014" w14:textId="6A11DA08" w:rsidR="00C13AFA" w:rsidRDefault="00C13AFA">
      <w:pPr>
        <w:pStyle w:val="ad"/>
      </w:pPr>
      <w:r>
        <w:rPr>
          <w:rStyle w:val="ae"/>
        </w:rPr>
        <w:footnoteRef/>
      </w:r>
      <w:r>
        <w:t xml:space="preserve"> </w:t>
      </w:r>
      <w:r w:rsidRPr="0083368E">
        <w:t xml:space="preserve">S Deakin and G Morris, </w:t>
      </w:r>
      <w:proofErr w:type="spellStart"/>
      <w:r w:rsidRPr="0083368E">
        <w:t>Labour</w:t>
      </w:r>
      <w:proofErr w:type="spellEnd"/>
      <w:r w:rsidRPr="0083368E">
        <w:t xml:space="preserve"> Law (6th </w:t>
      </w:r>
      <w:proofErr w:type="spellStart"/>
      <w:r w:rsidRPr="0083368E">
        <w:t>edn</w:t>
      </w:r>
      <w:proofErr w:type="spellEnd"/>
      <w:r w:rsidRPr="0083368E">
        <w:t xml:space="preserve"> Hart 2012) 165.</w:t>
      </w:r>
    </w:p>
  </w:footnote>
  <w:footnote w:id="157">
    <w:p w14:paraId="4BA43A37" w14:textId="29EB491B" w:rsidR="00C13AFA" w:rsidRDefault="00C13AFA">
      <w:pPr>
        <w:pStyle w:val="ad"/>
      </w:pPr>
      <w:r>
        <w:rPr>
          <w:rStyle w:val="ae"/>
        </w:rPr>
        <w:footnoteRef/>
      </w:r>
      <w:r>
        <w:t xml:space="preserve"> </w:t>
      </w:r>
      <w:r w:rsidRPr="0083368E">
        <w:t xml:space="preserve">O’Kelly v </w:t>
      </w:r>
      <w:proofErr w:type="spellStart"/>
      <w:r w:rsidRPr="0083368E">
        <w:t>Trusthouse</w:t>
      </w:r>
      <w:proofErr w:type="spellEnd"/>
      <w:r w:rsidRPr="0083368E">
        <w:t xml:space="preserve"> Forte Plc [1984] QB 90 (CA).</w:t>
      </w:r>
    </w:p>
  </w:footnote>
  <w:footnote w:id="158">
    <w:p w14:paraId="59EEAD52" w14:textId="1CE083BB" w:rsidR="00C13AFA" w:rsidRDefault="00C13AFA">
      <w:pPr>
        <w:pStyle w:val="ad"/>
      </w:pPr>
      <w:r>
        <w:rPr>
          <w:rStyle w:val="ae"/>
        </w:rPr>
        <w:footnoteRef/>
      </w:r>
      <w:r>
        <w:t xml:space="preserve"> </w:t>
      </w:r>
      <w:r w:rsidRPr="0083368E">
        <w:t xml:space="preserve">O’Kelly v </w:t>
      </w:r>
      <w:proofErr w:type="spellStart"/>
      <w:r w:rsidRPr="0083368E">
        <w:t>Trusthouse</w:t>
      </w:r>
      <w:proofErr w:type="spellEnd"/>
      <w:r w:rsidRPr="0083368E">
        <w:t xml:space="preserve"> Forte Plc [1984] QB 90 (CA). 101B; 124H.</w:t>
      </w:r>
    </w:p>
  </w:footnote>
  <w:footnote w:id="159">
    <w:p w14:paraId="4BFAF7DB" w14:textId="3DA600B2" w:rsidR="00C13AFA" w:rsidRDefault="00C13AFA">
      <w:pPr>
        <w:pStyle w:val="ad"/>
      </w:pPr>
      <w:r>
        <w:rPr>
          <w:rStyle w:val="ae"/>
        </w:rPr>
        <w:footnoteRef/>
      </w:r>
      <w:r>
        <w:t xml:space="preserve"> </w:t>
      </w:r>
      <w:r w:rsidRPr="0083368E">
        <w:t>Carmichael v National Power Plc [1999] UKHL 47, [1999] 1 WLR 2045 (L Irvine LC; who, as Alexander Irvine QC, had appeared for the employer in O’Kelly).</w:t>
      </w:r>
    </w:p>
  </w:footnote>
  <w:footnote w:id="160">
    <w:p w14:paraId="3E9BD651" w14:textId="24D73DF9" w:rsidR="00C13AFA" w:rsidRDefault="00C13AFA">
      <w:pPr>
        <w:pStyle w:val="ad"/>
      </w:pPr>
      <w:r>
        <w:rPr>
          <w:rStyle w:val="ae"/>
        </w:rPr>
        <w:footnoteRef/>
      </w:r>
      <w:r>
        <w:t xml:space="preserve"> </w:t>
      </w:r>
      <w:r w:rsidRPr="000E0C34">
        <w:t xml:space="preserve">Carmichael v National Power Plc [1999] UKHL 47, [1999] 1 WLR 2042. The right to </w:t>
      </w:r>
      <w:proofErr w:type="gramStart"/>
      <w:r w:rsidRPr="000E0C34">
        <w:t>particulars of</w:t>
      </w:r>
      <w:proofErr w:type="gramEnd"/>
      <w:r w:rsidRPr="000E0C34">
        <w:t xml:space="preserve"> employment at that time was set out in s 1(1) of the Employment Protection (Consolidation) Act 1978.</w:t>
      </w:r>
    </w:p>
  </w:footnote>
  <w:footnote w:id="161">
    <w:p w14:paraId="21089DA0" w14:textId="3684C88B" w:rsidR="00C13AFA" w:rsidRDefault="00C13AFA">
      <w:pPr>
        <w:pStyle w:val="ad"/>
      </w:pPr>
      <w:r>
        <w:rPr>
          <w:rStyle w:val="ae"/>
        </w:rPr>
        <w:footnoteRef/>
      </w:r>
      <w:r>
        <w:t xml:space="preserve"> </w:t>
      </w:r>
      <w:r w:rsidRPr="000E0C34">
        <w:t>Carmichael v National Power Plc [1999] UKHL 47, [1999] 1 WLR 2050G.</w:t>
      </w:r>
    </w:p>
  </w:footnote>
  <w:footnote w:id="162">
    <w:p w14:paraId="485E717A" w14:textId="5897AD55" w:rsidR="00C13AFA" w:rsidRDefault="00C13AFA">
      <w:pPr>
        <w:pStyle w:val="ad"/>
      </w:pPr>
      <w:r>
        <w:rPr>
          <w:rStyle w:val="ae"/>
        </w:rPr>
        <w:footnoteRef/>
      </w:r>
      <w:r>
        <w:t xml:space="preserve"> </w:t>
      </w:r>
      <w:proofErr w:type="spellStart"/>
      <w:r w:rsidRPr="000E0C34">
        <w:t>Cotswolds</w:t>
      </w:r>
      <w:proofErr w:type="spellEnd"/>
      <w:r w:rsidRPr="000E0C34">
        <w:t xml:space="preserve"> Developments Construction Ltd v Williams [2006] IRLR 181 (EAT) [55].</w:t>
      </w:r>
    </w:p>
  </w:footnote>
  <w:footnote w:id="163">
    <w:p w14:paraId="033066D8" w14:textId="68177BCE" w:rsidR="00C13AFA" w:rsidRDefault="00C13AFA">
      <w:pPr>
        <w:pStyle w:val="ad"/>
      </w:pPr>
      <w:r>
        <w:rPr>
          <w:rStyle w:val="ae"/>
        </w:rPr>
        <w:footnoteRef/>
      </w:r>
      <w:r>
        <w:t xml:space="preserve"> </w:t>
      </w:r>
      <w:r w:rsidRPr="000E0C34">
        <w:t xml:space="preserve">St Ives Plymouth Ltd v </w:t>
      </w:r>
      <w:proofErr w:type="spellStart"/>
      <w:r w:rsidRPr="000E0C34">
        <w:t>Mrs</w:t>
      </w:r>
      <w:proofErr w:type="spellEnd"/>
      <w:r w:rsidRPr="000E0C34">
        <w:t xml:space="preserve"> D Haggerty [2008] WL 2148113 [1], [33].</w:t>
      </w:r>
    </w:p>
  </w:footnote>
  <w:footnote w:id="164">
    <w:p w14:paraId="209DAB7C" w14:textId="1C48FBE2" w:rsidR="00C13AFA" w:rsidRDefault="00C13AFA">
      <w:pPr>
        <w:pStyle w:val="ad"/>
      </w:pPr>
      <w:r>
        <w:rPr>
          <w:rStyle w:val="ae"/>
        </w:rPr>
        <w:footnoteRef/>
      </w:r>
      <w:r>
        <w:t xml:space="preserve"> </w:t>
      </w:r>
      <w:r w:rsidRPr="000E0C34">
        <w:t xml:space="preserve">St Ives Plymouth Ltd v </w:t>
      </w:r>
      <w:proofErr w:type="spellStart"/>
      <w:r w:rsidRPr="000E0C34">
        <w:t>Mrs</w:t>
      </w:r>
      <w:proofErr w:type="spellEnd"/>
      <w:r w:rsidRPr="000E0C34">
        <w:t xml:space="preserve"> D Haggerty [2008] WL 2148113 [9].</w:t>
      </w:r>
    </w:p>
  </w:footnote>
  <w:footnote w:id="165">
    <w:p w14:paraId="68FE6A48" w14:textId="18492E09" w:rsidR="00C13AFA" w:rsidRDefault="00C13AFA">
      <w:pPr>
        <w:pStyle w:val="ad"/>
      </w:pPr>
      <w:r>
        <w:rPr>
          <w:rStyle w:val="ae"/>
        </w:rPr>
        <w:footnoteRef/>
      </w:r>
      <w:r>
        <w:t xml:space="preserve"> </w:t>
      </w:r>
      <w:r w:rsidRPr="000E0C34">
        <w:t xml:space="preserve">St Ives Plymouth Ltd v </w:t>
      </w:r>
      <w:proofErr w:type="spellStart"/>
      <w:r w:rsidRPr="000E0C34">
        <w:t>Mrs</w:t>
      </w:r>
      <w:proofErr w:type="spellEnd"/>
      <w:r w:rsidRPr="000E0C34">
        <w:t xml:space="preserve"> D Haggerty [2008] WL 2148113 [26].</w:t>
      </w:r>
    </w:p>
  </w:footnote>
  <w:footnote w:id="166">
    <w:p w14:paraId="47C00818" w14:textId="585D5653" w:rsidR="00C13AFA" w:rsidRDefault="00C13AFA">
      <w:pPr>
        <w:pStyle w:val="ad"/>
      </w:pPr>
      <w:r>
        <w:rPr>
          <w:rStyle w:val="ae"/>
        </w:rPr>
        <w:footnoteRef/>
      </w:r>
      <w:r>
        <w:t xml:space="preserve"> </w:t>
      </w:r>
      <w:r w:rsidRPr="000E0C34">
        <w:t xml:space="preserve">Dr. Abi Adams, Prof. Mark Freedland, Prof. Jeremias </w:t>
      </w:r>
      <w:proofErr w:type="spellStart"/>
      <w:r w:rsidRPr="000E0C34">
        <w:t>Prassl</w:t>
      </w:r>
      <w:proofErr w:type="spellEnd"/>
      <w:r w:rsidRPr="000E0C34">
        <w:t xml:space="preserve">, The “Zero-Hours Contract”: Regulating casual work, or legitimating </w:t>
      </w:r>
      <w:proofErr w:type="gramStart"/>
      <w:r w:rsidRPr="000E0C34">
        <w:t>precarity?,</w:t>
      </w:r>
      <w:proofErr w:type="gramEnd"/>
      <w:r w:rsidRPr="000E0C34">
        <w:t xml:space="preserve"> March 2015, European </w:t>
      </w:r>
      <w:proofErr w:type="spellStart"/>
      <w:r w:rsidRPr="000E0C34">
        <w:t>Labour</w:t>
      </w:r>
      <w:proofErr w:type="spellEnd"/>
      <w:r w:rsidRPr="000E0C34">
        <w:t xml:space="preserve"> Law Network(ELLN) (Working Paper No. 5. p. 16.</w:t>
      </w:r>
    </w:p>
  </w:footnote>
  <w:footnote w:id="167">
    <w:p w14:paraId="0705F8A6" w14:textId="64BDEAF6" w:rsidR="00C13AFA" w:rsidRDefault="00C13AFA">
      <w:pPr>
        <w:pStyle w:val="ad"/>
      </w:pPr>
      <w:r>
        <w:rPr>
          <w:rStyle w:val="ae"/>
        </w:rPr>
        <w:footnoteRef/>
      </w:r>
      <w:r>
        <w:t xml:space="preserve"> </w:t>
      </w:r>
      <w:r w:rsidRPr="000E0C34">
        <w:t xml:space="preserve">Dr. Abi Adams, Prof. Mark Freedland, Prof. Jeremias </w:t>
      </w:r>
      <w:proofErr w:type="spellStart"/>
      <w:r w:rsidRPr="000E0C34">
        <w:t>Prassl</w:t>
      </w:r>
      <w:proofErr w:type="spellEnd"/>
      <w:r w:rsidRPr="000E0C34">
        <w:t xml:space="preserve">, The “Zero-Hours Contract”: Regulating casual work, or legitimating </w:t>
      </w:r>
      <w:proofErr w:type="gramStart"/>
      <w:r w:rsidRPr="000E0C34">
        <w:t>precarity?,</w:t>
      </w:r>
      <w:proofErr w:type="gramEnd"/>
      <w:r w:rsidRPr="000E0C34">
        <w:t xml:space="preserve"> March 2015, European </w:t>
      </w:r>
      <w:proofErr w:type="spellStart"/>
      <w:r w:rsidRPr="000E0C34">
        <w:t>Labour</w:t>
      </w:r>
      <w:proofErr w:type="spellEnd"/>
      <w:r w:rsidRPr="000E0C34">
        <w:t xml:space="preserve"> Law Network(ELLN) (Working Paper No. 5. p. 16.</w:t>
      </w:r>
    </w:p>
  </w:footnote>
  <w:footnote w:id="168">
    <w:p w14:paraId="08A82D59" w14:textId="527D7220" w:rsidR="00C13AFA" w:rsidRDefault="00C13AFA">
      <w:pPr>
        <w:pStyle w:val="ad"/>
      </w:pPr>
      <w:r>
        <w:rPr>
          <w:rStyle w:val="ae"/>
        </w:rPr>
        <w:footnoteRef/>
      </w:r>
      <w:r>
        <w:t xml:space="preserve"> </w:t>
      </w:r>
      <w:r w:rsidRPr="000E0C34">
        <w:t xml:space="preserve">For an extended discussion of employment status in English law, see J </w:t>
      </w:r>
      <w:proofErr w:type="spellStart"/>
      <w:r w:rsidRPr="000E0C34">
        <w:t>Prassl</w:t>
      </w:r>
      <w:proofErr w:type="spellEnd"/>
      <w:r w:rsidRPr="000E0C34">
        <w:t>, ‘Employee Shareholder “Status”: Dismantling the Contract of Employment’ (2013) 42 ILJ 307, 326ff, on which parts of the present discussion draw.</w:t>
      </w:r>
    </w:p>
  </w:footnote>
  <w:footnote w:id="169">
    <w:p w14:paraId="26C2D6B3" w14:textId="7E84BDDD" w:rsidR="00C13AFA" w:rsidRDefault="00C13AFA">
      <w:pPr>
        <w:pStyle w:val="ad"/>
      </w:pPr>
      <w:r>
        <w:rPr>
          <w:rStyle w:val="ae"/>
        </w:rPr>
        <w:footnoteRef/>
      </w:r>
      <w:r>
        <w:t xml:space="preserve"> </w:t>
      </w:r>
      <w:r w:rsidRPr="000E0C34">
        <w:t>Workers are there defined as those working (a) under a contract of employment or (b) any other contract […] whereby the individual undertakes to do or perform personally any or work or services for another party to the contract […].</w:t>
      </w:r>
    </w:p>
  </w:footnote>
  <w:footnote w:id="170">
    <w:p w14:paraId="1E9E7A96" w14:textId="2945CB1E" w:rsidR="00C13AFA" w:rsidRDefault="00C13AFA">
      <w:pPr>
        <w:pStyle w:val="ad"/>
      </w:pPr>
      <w:r>
        <w:rPr>
          <w:rStyle w:val="ae"/>
        </w:rPr>
        <w:footnoteRef/>
      </w:r>
      <w:r>
        <w:t xml:space="preserve"> </w:t>
      </w:r>
      <w:r w:rsidRPr="000E0C34">
        <w:t xml:space="preserve">Byrne Bros (Formwork) Ltd v Bard and others [2002] ICR 667 (EAT). This case was approved in its basic approach by the Court of Appeal in </w:t>
      </w:r>
      <w:proofErr w:type="spellStart"/>
      <w:r w:rsidRPr="000E0C34">
        <w:t>Redrow</w:t>
      </w:r>
      <w:proofErr w:type="spellEnd"/>
      <w:r w:rsidRPr="000E0C34">
        <w:t xml:space="preserve"> Homes (Yorkshire) Ltd v Wright [2004] EWCA Civ 469, [2004] ICR 1126 (though with some reservations </w:t>
      </w:r>
      <w:proofErr w:type="gramStart"/>
      <w:r w:rsidRPr="000E0C34">
        <w:t>as regards</w:t>
      </w:r>
      <w:proofErr w:type="gramEnd"/>
      <w:r w:rsidRPr="000E0C34">
        <w:t xml:space="preserve"> the overall purposiveness of the approach to be taken: [21]).</w:t>
      </w:r>
    </w:p>
  </w:footnote>
  <w:footnote w:id="171">
    <w:p w14:paraId="2A469B0C" w14:textId="38131D49" w:rsidR="00C13AFA" w:rsidRDefault="00C13AFA">
      <w:pPr>
        <w:pStyle w:val="ad"/>
      </w:pPr>
      <w:r>
        <w:rPr>
          <w:rStyle w:val="ae"/>
        </w:rPr>
        <w:footnoteRef/>
      </w:r>
      <w:r>
        <w:t xml:space="preserve"> </w:t>
      </w:r>
      <w:r w:rsidRPr="000E0C34">
        <w:t>Working Time Regulations 1998, SI 1998/1833. The worker definition can be found in reg 2(1).</w:t>
      </w:r>
    </w:p>
  </w:footnote>
  <w:footnote w:id="172">
    <w:p w14:paraId="2D2EF0BD" w14:textId="771481F4" w:rsidR="00C13AFA" w:rsidRDefault="00C13AFA">
      <w:pPr>
        <w:pStyle w:val="ad"/>
      </w:pPr>
      <w:r>
        <w:rPr>
          <w:rStyle w:val="ae"/>
        </w:rPr>
        <w:footnoteRef/>
      </w:r>
      <w:r>
        <w:t xml:space="preserve"> </w:t>
      </w:r>
      <w:r w:rsidRPr="000E0C34">
        <w:t>Byrne Bros (Formwork) Ltd v Bard and others [2002] ICR 667 (EAT). [17].</w:t>
      </w:r>
    </w:p>
  </w:footnote>
  <w:footnote w:id="173">
    <w:p w14:paraId="581DF984" w14:textId="2347AECC" w:rsidR="00C13AFA" w:rsidRDefault="00C13AFA">
      <w:pPr>
        <w:pStyle w:val="ad"/>
      </w:pPr>
      <w:r>
        <w:rPr>
          <w:rStyle w:val="ae"/>
        </w:rPr>
        <w:footnoteRef/>
      </w:r>
      <w:r>
        <w:t xml:space="preserve"> </w:t>
      </w:r>
      <w:r w:rsidRPr="000E0C34">
        <w:t>Including notably the Working Time Regulations 1998 and the National Minimum Wage Act 1998.</w:t>
      </w:r>
    </w:p>
  </w:footnote>
  <w:footnote w:id="174">
    <w:p w14:paraId="2D722509" w14:textId="4E87E758" w:rsidR="00C13AFA" w:rsidRDefault="00C13AFA">
      <w:pPr>
        <w:pStyle w:val="ad"/>
      </w:pPr>
      <w:r>
        <w:rPr>
          <w:rStyle w:val="ae"/>
        </w:rPr>
        <w:footnoteRef/>
      </w:r>
      <w:r>
        <w:t xml:space="preserve"> </w:t>
      </w:r>
      <w:r w:rsidRPr="000E0C34">
        <w:t>Stevedoring and Haulage Services v Fuller [2001] IRLR 627 (CA).</w:t>
      </w:r>
    </w:p>
  </w:footnote>
  <w:footnote w:id="175">
    <w:p w14:paraId="4D33B382" w14:textId="00D9CD38" w:rsidR="00C13AFA" w:rsidRDefault="00C13AFA">
      <w:pPr>
        <w:pStyle w:val="ad"/>
      </w:pPr>
      <w:r>
        <w:rPr>
          <w:rStyle w:val="ae"/>
        </w:rPr>
        <w:footnoteRef/>
      </w:r>
      <w:r>
        <w:t xml:space="preserve"> </w:t>
      </w:r>
      <w:r w:rsidRPr="000E0C34">
        <w:t>P Leighton, ‘Problems Continue for Zero-Hours Workers’ [2002] 31 ILJ 71, 74.</w:t>
      </w:r>
    </w:p>
  </w:footnote>
  <w:footnote w:id="176">
    <w:p w14:paraId="0BFB8254" w14:textId="32EF3FAB" w:rsidR="00C13AFA" w:rsidRDefault="00C13AFA">
      <w:pPr>
        <w:pStyle w:val="ad"/>
      </w:pPr>
      <w:r>
        <w:rPr>
          <w:rStyle w:val="ae"/>
        </w:rPr>
        <w:footnoteRef/>
      </w:r>
      <w:r>
        <w:t xml:space="preserve"> </w:t>
      </w:r>
      <w:proofErr w:type="spellStart"/>
      <w:r w:rsidRPr="000E0C34">
        <w:t>Autoclenz</w:t>
      </w:r>
      <w:proofErr w:type="spellEnd"/>
      <w:r w:rsidRPr="000E0C34">
        <w:t xml:space="preserve"> Ltd v Belcher [2011] UKSC 41, [2011] 4 All ER 745 [32].</w:t>
      </w:r>
    </w:p>
  </w:footnote>
  <w:footnote w:id="177">
    <w:p w14:paraId="2519CFA4" w14:textId="2CAB7C65" w:rsidR="00C13AFA" w:rsidRDefault="00C13AFA">
      <w:pPr>
        <w:pStyle w:val="ad"/>
      </w:pPr>
      <w:r>
        <w:rPr>
          <w:rStyle w:val="ae"/>
        </w:rPr>
        <w:footnoteRef/>
      </w:r>
      <w:r>
        <w:t xml:space="preserve"> </w:t>
      </w:r>
      <w:proofErr w:type="spellStart"/>
      <w:r w:rsidRPr="000E0C34">
        <w:t>Autoclenz</w:t>
      </w:r>
      <w:proofErr w:type="spellEnd"/>
      <w:r w:rsidRPr="000E0C34">
        <w:t xml:space="preserve"> Ltd v Belcher [2011] UKSC 41, [2011] 4 All ER 745 [35].</w:t>
      </w:r>
    </w:p>
  </w:footnote>
  <w:footnote w:id="178">
    <w:p w14:paraId="6A973B87" w14:textId="736BDF2D" w:rsidR="00C13AFA" w:rsidRDefault="00C13AFA">
      <w:pPr>
        <w:pStyle w:val="ad"/>
      </w:pPr>
      <w:r>
        <w:rPr>
          <w:rStyle w:val="ae"/>
        </w:rPr>
        <w:footnoteRef/>
      </w:r>
      <w:r>
        <w:t xml:space="preserve"> </w:t>
      </w:r>
      <w:r w:rsidRPr="000E0C34">
        <w:t xml:space="preserve">A </w:t>
      </w:r>
      <w:proofErr w:type="spellStart"/>
      <w:r w:rsidRPr="000E0C34">
        <w:t>Bogg</w:t>
      </w:r>
      <w:proofErr w:type="spellEnd"/>
      <w:r w:rsidRPr="000E0C34">
        <w:t>, ‘Sham Self-Employment in the Supreme Court’ [2012] 41 ILJ 328, 333.</w:t>
      </w:r>
    </w:p>
  </w:footnote>
  <w:footnote w:id="179">
    <w:p w14:paraId="652F2768" w14:textId="3F0F61DF" w:rsidR="00C13AFA" w:rsidRDefault="00C13AFA">
      <w:pPr>
        <w:pStyle w:val="ad"/>
      </w:pPr>
      <w:r>
        <w:rPr>
          <w:rStyle w:val="ae"/>
        </w:rPr>
        <w:footnoteRef/>
      </w:r>
      <w:r>
        <w:t xml:space="preserve"> </w:t>
      </w:r>
      <w:r w:rsidRPr="000E0C34">
        <w:t xml:space="preserve">Pulse Healthcare Ltd v </w:t>
      </w:r>
      <w:proofErr w:type="spellStart"/>
      <w:r w:rsidRPr="000E0C34">
        <w:t>Carewatch</w:t>
      </w:r>
      <w:proofErr w:type="spellEnd"/>
      <w:r w:rsidRPr="000E0C34">
        <w:t xml:space="preserve"> Care Services Ltd [2012] UKEAT 0123/12/BA [35].</w:t>
      </w:r>
    </w:p>
  </w:footnote>
  <w:footnote w:id="180">
    <w:p w14:paraId="51C12E57" w14:textId="23B834B8" w:rsidR="00C13AFA" w:rsidRDefault="00C13AFA">
      <w:pPr>
        <w:pStyle w:val="ad"/>
      </w:pPr>
      <w:r>
        <w:rPr>
          <w:rStyle w:val="ae"/>
        </w:rPr>
        <w:footnoteRef/>
      </w:r>
      <w:r>
        <w:t xml:space="preserve"> </w:t>
      </w:r>
      <w:r w:rsidRPr="000E0C34">
        <w:t>Paul Davies and Mark Freedland, TOWARDS A FLEXIBLE LABOUR MARKET, Oxford University Press, 2007, p. 2.</w:t>
      </w:r>
    </w:p>
  </w:footnote>
  <w:footnote w:id="181">
    <w:p w14:paraId="07A4045E" w14:textId="15BDD824" w:rsidR="00C13AFA" w:rsidRDefault="00C13AFA">
      <w:pPr>
        <w:pStyle w:val="ad"/>
      </w:pPr>
      <w:r>
        <w:rPr>
          <w:rStyle w:val="ae"/>
        </w:rPr>
        <w:footnoteRef/>
      </w:r>
      <w:r>
        <w:t xml:space="preserve"> </w:t>
      </w:r>
      <w:r w:rsidRPr="000E0C34">
        <w:t>Paul Davies and Mark Freedland, TOWARDS A FLEXIBLE LABOUR MARKET, Oxford University Press, 2007, p. 5.</w:t>
      </w:r>
    </w:p>
  </w:footnote>
  <w:footnote w:id="182">
    <w:p w14:paraId="781110EC" w14:textId="502D1434" w:rsidR="00C13AFA" w:rsidRDefault="00C13AFA">
      <w:pPr>
        <w:pStyle w:val="ad"/>
      </w:pPr>
      <w:r>
        <w:rPr>
          <w:rStyle w:val="ae"/>
        </w:rPr>
        <w:footnoteRef/>
      </w:r>
      <w:r>
        <w:t xml:space="preserve"> </w:t>
      </w:r>
      <w:r w:rsidRPr="000E0C34">
        <w:t>Paul Davies and Mark Freedland, TOWARDS A FLEXIBLE LABOUR MARKET, Oxford University Press, 2007, p. 5.</w:t>
      </w:r>
    </w:p>
  </w:footnote>
  <w:footnote w:id="183">
    <w:p w14:paraId="3B0A957D" w14:textId="487E114E" w:rsidR="00C13AFA" w:rsidRDefault="00C13AFA">
      <w:pPr>
        <w:pStyle w:val="ad"/>
      </w:pPr>
      <w:r>
        <w:rPr>
          <w:rStyle w:val="ae"/>
        </w:rPr>
        <w:footnoteRef/>
      </w:r>
      <w:r>
        <w:t xml:space="preserve"> </w:t>
      </w:r>
      <w:r w:rsidRPr="000E0C34">
        <w:t>Paul Davies and Mark Freedland, TOWARDS A FLEXIBLE LABOUR MARKET, Oxford University Press, 2007, p. 5.</w:t>
      </w:r>
    </w:p>
  </w:footnote>
  <w:footnote w:id="184">
    <w:p w14:paraId="6AA42E5E" w14:textId="5E6DE03A" w:rsidR="00C13AFA" w:rsidRDefault="00C13AFA">
      <w:pPr>
        <w:pStyle w:val="ad"/>
      </w:pPr>
      <w:r>
        <w:rPr>
          <w:rStyle w:val="ae"/>
        </w:rPr>
        <w:footnoteRef/>
      </w:r>
      <w:r>
        <w:t xml:space="preserve"> </w:t>
      </w:r>
      <w:r w:rsidRPr="000E0C34">
        <w:t>Paul Davies and Mark Freedland, TOWARDS A FLEXIBLE LABOUR MARKET, Oxford University Press, 2007, p. 5.</w:t>
      </w:r>
    </w:p>
  </w:footnote>
  <w:footnote w:id="185">
    <w:p w14:paraId="26A3131A" w14:textId="1842363F" w:rsidR="00C13AFA" w:rsidRDefault="00C13AFA">
      <w:pPr>
        <w:pStyle w:val="ad"/>
      </w:pPr>
      <w:r>
        <w:rPr>
          <w:rStyle w:val="ae"/>
        </w:rPr>
        <w:footnoteRef/>
      </w:r>
      <w:r>
        <w:t xml:space="preserve"> </w:t>
      </w:r>
      <w:r w:rsidRPr="000E0C34">
        <w:t>Paul Davies and Mark Freedland, TOWARDS A FLEXIBLE LABOUR MARKET, Oxford University Press, 2007, p. 5.</w:t>
      </w:r>
    </w:p>
  </w:footnote>
  <w:footnote w:id="186">
    <w:p w14:paraId="4BB1398F" w14:textId="68E9ECC7" w:rsidR="00C13AFA" w:rsidRDefault="00C13AFA">
      <w:pPr>
        <w:pStyle w:val="ad"/>
      </w:pPr>
      <w:r>
        <w:rPr>
          <w:rStyle w:val="ae"/>
        </w:rPr>
        <w:footnoteRef/>
      </w:r>
      <w:r>
        <w:t xml:space="preserve"> </w:t>
      </w:r>
      <w:r w:rsidRPr="000E0C34">
        <w:t>Paul Davies and Mark Freedland, TOWARDS A FLEXIBLE LABOUR MARKET, Oxford University Press, 2007, p. 5.</w:t>
      </w:r>
    </w:p>
  </w:footnote>
  <w:footnote w:id="187">
    <w:p w14:paraId="2554E2B9" w14:textId="107EC821" w:rsidR="00C13AFA" w:rsidRDefault="00C13AFA">
      <w:pPr>
        <w:pStyle w:val="ad"/>
      </w:pPr>
      <w:r>
        <w:rPr>
          <w:rStyle w:val="ae"/>
        </w:rPr>
        <w:footnoteRef/>
      </w:r>
      <w:r>
        <w:t xml:space="preserve"> </w:t>
      </w:r>
      <w:r w:rsidRPr="000E0C34">
        <w:t>Paul Davies and Mark Freedland, TOWARDS A FLEXIBLE LABOUR MARKET, Oxford University Press, 2007, p. 5.</w:t>
      </w:r>
    </w:p>
  </w:footnote>
  <w:footnote w:id="188">
    <w:p w14:paraId="2B6C26A5" w14:textId="62559DA0" w:rsidR="00C13AFA" w:rsidRDefault="00C13AFA">
      <w:pPr>
        <w:pStyle w:val="ad"/>
      </w:pPr>
      <w:r>
        <w:rPr>
          <w:rStyle w:val="ae"/>
        </w:rPr>
        <w:footnoteRef/>
      </w:r>
      <w:r>
        <w:t xml:space="preserve"> </w:t>
      </w:r>
      <w:r w:rsidRPr="000E0C34">
        <w:t>Paul Davies and Mark Freedland, TOWARDS A FLEXIBLE LABOUR MARKET, Oxford University Press, 2007, p. 5.</w:t>
      </w:r>
    </w:p>
  </w:footnote>
  <w:footnote w:id="189">
    <w:p w14:paraId="6B9157C2" w14:textId="026CD751" w:rsidR="00C13AFA" w:rsidRDefault="00C13AFA">
      <w:pPr>
        <w:pStyle w:val="ad"/>
      </w:pPr>
      <w:r>
        <w:rPr>
          <w:rStyle w:val="ae"/>
        </w:rPr>
        <w:footnoteRef/>
      </w:r>
      <w:r>
        <w:t xml:space="preserve"> </w:t>
      </w:r>
      <w:r w:rsidRPr="000E0C34">
        <w:t>Paul Davies and Mark Freedland, TOWARDS A FLEXIBLE LABOUR MARKET, Oxford University Press, 2007, p. 5.</w:t>
      </w:r>
    </w:p>
  </w:footnote>
  <w:footnote w:id="190">
    <w:p w14:paraId="3A6BD636" w14:textId="5030ADC3" w:rsidR="00C13AFA" w:rsidRDefault="00C13AFA">
      <w:pPr>
        <w:pStyle w:val="ad"/>
      </w:pPr>
      <w:r>
        <w:rPr>
          <w:rStyle w:val="ae"/>
        </w:rPr>
        <w:footnoteRef/>
      </w:r>
      <w:r>
        <w:t xml:space="preserve"> </w:t>
      </w:r>
      <w:proofErr w:type="spellStart"/>
      <w:r w:rsidRPr="000E0C34">
        <w:t>Labour</w:t>
      </w:r>
      <w:proofErr w:type="spellEnd"/>
      <w:r w:rsidRPr="000E0C34">
        <w:t xml:space="preserve"> Legislation and Public Policy, p.526.</w:t>
      </w:r>
    </w:p>
  </w:footnote>
  <w:footnote w:id="191">
    <w:p w14:paraId="3825B3A9" w14:textId="1B4CB362" w:rsidR="00C13AFA" w:rsidRDefault="00C13AFA">
      <w:pPr>
        <w:pStyle w:val="ad"/>
      </w:pPr>
      <w:r>
        <w:rPr>
          <w:rStyle w:val="ae"/>
        </w:rPr>
        <w:footnoteRef/>
      </w:r>
      <w:r>
        <w:t xml:space="preserve"> </w:t>
      </w:r>
      <w:r w:rsidRPr="000E0C34">
        <w:t>Paul Davies and Mark Freedland, TOWARDS A FLEXIBLE LABOUR MARKET, Oxford University Press, 2007, p. 6.</w:t>
      </w:r>
    </w:p>
  </w:footnote>
  <w:footnote w:id="192">
    <w:p w14:paraId="26F0D12C" w14:textId="0A3017EE" w:rsidR="00C13AFA" w:rsidRDefault="00C13AFA">
      <w:pPr>
        <w:pStyle w:val="ad"/>
      </w:pPr>
      <w:r>
        <w:rPr>
          <w:rStyle w:val="ae"/>
        </w:rPr>
        <w:footnoteRef/>
      </w:r>
      <w:r>
        <w:t xml:space="preserve"> </w:t>
      </w:r>
      <w:r w:rsidRPr="000E0C34">
        <w:t>Paul Davies and Mark Freedland, TOWARDS A FLEXIBLE LABOUR MARKET, Oxford University Press, 2007, p. 6.</w:t>
      </w:r>
    </w:p>
  </w:footnote>
  <w:footnote w:id="193">
    <w:p w14:paraId="686B2E04" w14:textId="47098DF8" w:rsidR="00C13AFA" w:rsidRDefault="00C13AFA">
      <w:pPr>
        <w:pStyle w:val="ad"/>
      </w:pPr>
      <w:r>
        <w:rPr>
          <w:rStyle w:val="ae"/>
        </w:rPr>
        <w:footnoteRef/>
      </w:r>
      <w:r>
        <w:t xml:space="preserve"> </w:t>
      </w:r>
      <w:r w:rsidRPr="000E0C34">
        <w:t>Paul Davies and Mark Freedland, TOWARDS A FLEXIBLE LABOUR MARKET, Oxford University Press, 2007, p. 8.</w:t>
      </w:r>
    </w:p>
  </w:footnote>
  <w:footnote w:id="194">
    <w:p w14:paraId="755A26B4" w14:textId="2FA70D3D" w:rsidR="00C13AFA" w:rsidRDefault="00C13AFA">
      <w:pPr>
        <w:pStyle w:val="ad"/>
      </w:pPr>
      <w:r>
        <w:rPr>
          <w:rStyle w:val="ae"/>
        </w:rPr>
        <w:footnoteRef/>
      </w:r>
      <w:r>
        <w:t xml:space="preserve"> </w:t>
      </w:r>
      <w:r w:rsidRPr="000E0C34">
        <w:t>Para 2.10.</w:t>
      </w:r>
    </w:p>
  </w:footnote>
  <w:footnote w:id="195">
    <w:p w14:paraId="37F7AE04" w14:textId="790D3348" w:rsidR="00C13AFA" w:rsidRDefault="00C13AFA">
      <w:pPr>
        <w:pStyle w:val="ad"/>
      </w:pPr>
      <w:r>
        <w:rPr>
          <w:rStyle w:val="ae"/>
        </w:rPr>
        <w:footnoteRef/>
      </w:r>
      <w:r>
        <w:t xml:space="preserve"> </w:t>
      </w:r>
      <w:r w:rsidRPr="000E0C34">
        <w:t>Para 2.11.</w:t>
      </w:r>
    </w:p>
  </w:footnote>
  <w:footnote w:id="196">
    <w:p w14:paraId="2947AB63" w14:textId="60FAEC52" w:rsidR="00C13AFA" w:rsidRDefault="00C13AFA">
      <w:pPr>
        <w:pStyle w:val="ad"/>
      </w:pPr>
      <w:r>
        <w:rPr>
          <w:rStyle w:val="ae"/>
        </w:rPr>
        <w:footnoteRef/>
      </w:r>
      <w:r>
        <w:t xml:space="preserve"> </w:t>
      </w:r>
      <w:r w:rsidRPr="000E0C34">
        <w:t>Para 2.12.</w:t>
      </w:r>
    </w:p>
  </w:footnote>
  <w:footnote w:id="197">
    <w:p w14:paraId="11E83398" w14:textId="6C4B5DED" w:rsidR="00C13AFA" w:rsidRDefault="00C13AFA">
      <w:pPr>
        <w:pStyle w:val="ad"/>
      </w:pPr>
      <w:r>
        <w:rPr>
          <w:rStyle w:val="ae"/>
        </w:rPr>
        <w:footnoteRef/>
      </w:r>
      <w:r>
        <w:t xml:space="preserve"> </w:t>
      </w:r>
      <w:r w:rsidRPr="000E0C34">
        <w:t>Para 2.13.</w:t>
      </w:r>
    </w:p>
  </w:footnote>
  <w:footnote w:id="198">
    <w:p w14:paraId="31BFBB68" w14:textId="5F90F46E" w:rsidR="00C13AFA" w:rsidRDefault="00C13AFA">
      <w:pPr>
        <w:pStyle w:val="ad"/>
      </w:pPr>
      <w:r>
        <w:rPr>
          <w:rStyle w:val="ae"/>
        </w:rPr>
        <w:footnoteRef/>
      </w:r>
      <w:r>
        <w:t xml:space="preserve"> </w:t>
      </w:r>
      <w:r w:rsidRPr="00396FEB">
        <w:t>Para 2.13.</w:t>
      </w:r>
    </w:p>
  </w:footnote>
  <w:footnote w:id="199">
    <w:p w14:paraId="50512865" w14:textId="617FBC23" w:rsidR="00C13AFA" w:rsidRDefault="00C13AFA">
      <w:pPr>
        <w:pStyle w:val="ad"/>
      </w:pPr>
      <w:r>
        <w:rPr>
          <w:rStyle w:val="ae"/>
        </w:rPr>
        <w:footnoteRef/>
      </w:r>
      <w:r>
        <w:t xml:space="preserve"> </w:t>
      </w:r>
      <w:r w:rsidRPr="00396FEB">
        <w:t>Paul Davies and Mark Freedland, TOWARDS A FLEXIBLE LABOUR MARKET, Oxford University Press, 2007, p. 9.</w:t>
      </w:r>
    </w:p>
  </w:footnote>
  <w:footnote w:id="200">
    <w:p w14:paraId="7DB903BF" w14:textId="1B47D243" w:rsidR="00C13AFA" w:rsidRDefault="00C13AFA">
      <w:pPr>
        <w:pStyle w:val="ad"/>
      </w:pPr>
      <w:r>
        <w:rPr>
          <w:rStyle w:val="ae"/>
        </w:rPr>
        <w:footnoteRef/>
      </w:r>
      <w:r>
        <w:t xml:space="preserve"> </w:t>
      </w:r>
      <w:r w:rsidRPr="00396FEB">
        <w:t>Paul Davies and Mark Freedland, TOWARDS A FLEXIBLE LABOUR MARKET, Oxford University Press, 2007, p. 9.</w:t>
      </w:r>
    </w:p>
  </w:footnote>
  <w:footnote w:id="201">
    <w:p w14:paraId="6511B030" w14:textId="3CA84F65" w:rsidR="00C13AFA" w:rsidRDefault="00C13AFA">
      <w:pPr>
        <w:pStyle w:val="ad"/>
      </w:pPr>
      <w:r>
        <w:rPr>
          <w:rStyle w:val="ae"/>
        </w:rPr>
        <w:footnoteRef/>
      </w:r>
      <w:r>
        <w:t xml:space="preserve"> </w:t>
      </w:r>
      <w:r w:rsidRPr="00396FEB">
        <w:t>Paul Davies and Mark Freedland, TOWARDS A FLEXIBLE LABOUR MARKET, Oxford University Press, 2007, p. 10.</w:t>
      </w:r>
    </w:p>
  </w:footnote>
  <w:footnote w:id="202">
    <w:p w14:paraId="6159E4FC" w14:textId="5A570434" w:rsidR="00C13AFA" w:rsidRDefault="00C13AFA">
      <w:pPr>
        <w:pStyle w:val="ad"/>
      </w:pPr>
      <w:r>
        <w:rPr>
          <w:rStyle w:val="ae"/>
        </w:rPr>
        <w:footnoteRef/>
      </w:r>
      <w:r>
        <w:t xml:space="preserve"> </w:t>
      </w:r>
      <w:r w:rsidRPr="00396FEB">
        <w:t xml:space="preserve">By </w:t>
      </w:r>
      <w:proofErr w:type="spellStart"/>
      <w:r w:rsidRPr="00396FEB">
        <w:t>Mr</w:t>
      </w:r>
      <w:proofErr w:type="spellEnd"/>
      <w:r w:rsidRPr="00396FEB">
        <w:t xml:space="preserve"> Alistair Darling as Chief Secretary to the Treasury in a Statement to the House of Commons on 12 June 1997; Hansard, HC (series6) vol 295, col 1423 et seq (12 June 1997).</w:t>
      </w:r>
    </w:p>
  </w:footnote>
  <w:footnote w:id="203">
    <w:p w14:paraId="489FF53F" w14:textId="307BF8EC" w:rsidR="00C13AFA" w:rsidRDefault="00C13AFA">
      <w:pPr>
        <w:pStyle w:val="ad"/>
      </w:pPr>
      <w:r>
        <w:rPr>
          <w:rStyle w:val="ae"/>
        </w:rPr>
        <w:footnoteRef/>
      </w:r>
      <w:r>
        <w:t xml:space="preserve"> </w:t>
      </w:r>
      <w:r w:rsidRPr="00396FEB">
        <w:t>Paul Davies and Mark Freedland, TOWARDS A FLEXIBLE LABOUR MARKET, Oxford University Press, 2007, p. 10.</w:t>
      </w:r>
    </w:p>
  </w:footnote>
  <w:footnote w:id="204">
    <w:p w14:paraId="22379544" w14:textId="72E113CA" w:rsidR="00C13AFA" w:rsidRDefault="00C13AFA">
      <w:pPr>
        <w:pStyle w:val="ad"/>
      </w:pPr>
      <w:r>
        <w:rPr>
          <w:rStyle w:val="ae"/>
        </w:rPr>
        <w:footnoteRef/>
      </w:r>
      <w:r>
        <w:t xml:space="preserve"> </w:t>
      </w:r>
      <w:r w:rsidRPr="00396FEB">
        <w:t>Paul Davies and Mark Freedland, TOWARDS A FLEXIBLE LABOUR MARKET, Oxford University Press, 2007, p. 10.</w:t>
      </w:r>
    </w:p>
  </w:footnote>
  <w:footnote w:id="205">
    <w:p w14:paraId="4A1AE519" w14:textId="6A832B56" w:rsidR="00C13AFA" w:rsidRDefault="00C13AFA">
      <w:pPr>
        <w:pStyle w:val="ad"/>
      </w:pPr>
      <w:r>
        <w:rPr>
          <w:rStyle w:val="ae"/>
        </w:rPr>
        <w:footnoteRef/>
      </w:r>
      <w:r>
        <w:t xml:space="preserve"> </w:t>
      </w:r>
      <w:r w:rsidRPr="00396FEB">
        <w:t>Paul Davies and Mark Freedland, TOWARDS A FLEXIBLE LABOUR MARKET, Oxford University Press, 2007, p. 10.</w:t>
      </w:r>
    </w:p>
  </w:footnote>
  <w:footnote w:id="206">
    <w:p w14:paraId="069CA726" w14:textId="4D8ADC7A" w:rsidR="00C13AFA" w:rsidRDefault="00C13AFA">
      <w:pPr>
        <w:pStyle w:val="ad"/>
      </w:pPr>
      <w:r>
        <w:rPr>
          <w:rStyle w:val="ae"/>
        </w:rPr>
        <w:footnoteRef/>
      </w:r>
      <w:r>
        <w:t xml:space="preserve"> </w:t>
      </w:r>
      <w:r w:rsidRPr="00396FEB">
        <w:t>Cm 3805, 1998.</w:t>
      </w:r>
    </w:p>
  </w:footnote>
  <w:footnote w:id="207">
    <w:p w14:paraId="07A44C05" w14:textId="461BE823" w:rsidR="00C13AFA" w:rsidRDefault="00C13AFA">
      <w:pPr>
        <w:pStyle w:val="ad"/>
      </w:pPr>
      <w:r>
        <w:rPr>
          <w:rStyle w:val="ae"/>
        </w:rPr>
        <w:footnoteRef/>
      </w:r>
      <w:r>
        <w:t xml:space="preserve"> </w:t>
      </w:r>
      <w:r w:rsidRPr="00396FEB">
        <w:t>Paul Davies and Mark Freedland, TOWARDS A FLEXIBLE LABOUR MARKET, Oxford University Press, 2007, p. 10.</w:t>
      </w:r>
    </w:p>
  </w:footnote>
  <w:footnote w:id="208">
    <w:p w14:paraId="5167EC8D" w14:textId="68C65D9D" w:rsidR="00C13AFA" w:rsidRDefault="00C13AFA">
      <w:pPr>
        <w:pStyle w:val="ad"/>
      </w:pPr>
      <w:r>
        <w:rPr>
          <w:rStyle w:val="ae"/>
        </w:rPr>
        <w:footnoteRef/>
      </w:r>
      <w:r>
        <w:t xml:space="preserve"> </w:t>
      </w:r>
      <w:r w:rsidRPr="00396FEB">
        <w:t>Forward to White Paper, Modern Public Services for Britain: Investing in Reform-Comprehensive Spending Review: New Public Spending Plans 1999-2002 (Cm 4011, 1998).</w:t>
      </w:r>
    </w:p>
  </w:footnote>
  <w:footnote w:id="209">
    <w:p w14:paraId="37BA31C9" w14:textId="05440960" w:rsidR="00C13AFA" w:rsidRDefault="00C13AFA">
      <w:pPr>
        <w:pStyle w:val="ad"/>
      </w:pPr>
      <w:r>
        <w:rPr>
          <w:rStyle w:val="ae"/>
        </w:rPr>
        <w:footnoteRef/>
      </w:r>
      <w:r>
        <w:t xml:space="preserve"> </w:t>
      </w:r>
      <w:r w:rsidRPr="00396FEB">
        <w:t>Paul Davies and Mark Freedland, TOWARDS A FLEXIBLE LABOUR MARKET, Oxford University Press, 2007, p. 11.</w:t>
      </w:r>
    </w:p>
  </w:footnote>
  <w:footnote w:id="210">
    <w:p w14:paraId="4F006E18" w14:textId="16622950" w:rsidR="00C13AFA" w:rsidRDefault="00C13AFA">
      <w:pPr>
        <w:pStyle w:val="ad"/>
      </w:pPr>
      <w:r>
        <w:rPr>
          <w:rStyle w:val="ae"/>
        </w:rPr>
        <w:footnoteRef/>
      </w:r>
      <w:r>
        <w:t xml:space="preserve"> </w:t>
      </w:r>
      <w:r w:rsidRPr="00396FEB">
        <w:t>Paul Davies and Mark Freedland, TOWARDS A FLEXIBLE LABOUR MARKET, Oxford University Press, 2007, p. 11.</w:t>
      </w:r>
    </w:p>
  </w:footnote>
  <w:footnote w:id="211">
    <w:p w14:paraId="1639CC85" w14:textId="5C1CFDA2" w:rsidR="00C13AFA" w:rsidRDefault="00C13AFA">
      <w:pPr>
        <w:pStyle w:val="ad"/>
      </w:pPr>
      <w:r>
        <w:rPr>
          <w:rStyle w:val="ae"/>
        </w:rPr>
        <w:footnoteRef/>
      </w:r>
      <w:r>
        <w:t xml:space="preserve"> </w:t>
      </w:r>
      <w:r w:rsidRPr="00396FEB">
        <w:t>Paul Davies and Mark Freedland, TOWARDS A FLEXIBLE LABOUR MARKET, Oxford University Press, 2007, p. 11.</w:t>
      </w:r>
    </w:p>
  </w:footnote>
  <w:footnote w:id="212">
    <w:p w14:paraId="0AACCB5E" w14:textId="09FF9387" w:rsidR="00C13AFA" w:rsidRDefault="00C13AFA">
      <w:pPr>
        <w:pStyle w:val="ad"/>
      </w:pPr>
      <w:r>
        <w:rPr>
          <w:rStyle w:val="ae"/>
        </w:rPr>
        <w:footnoteRef/>
      </w:r>
      <w:r>
        <w:t xml:space="preserve"> </w:t>
      </w:r>
      <w:r w:rsidRPr="00396FEB">
        <w:t>Paul Davies and Mark Freedland, TOWARDS A FLEXIBLE LABOUR MARKET, Oxford University Press, 2007, p. 11.</w:t>
      </w:r>
    </w:p>
  </w:footnote>
  <w:footnote w:id="213">
    <w:p w14:paraId="4C1691E3" w14:textId="22614147" w:rsidR="00C13AFA" w:rsidRDefault="00C13AFA">
      <w:pPr>
        <w:pStyle w:val="ad"/>
      </w:pPr>
      <w:r>
        <w:rPr>
          <w:rStyle w:val="ae"/>
        </w:rPr>
        <w:footnoteRef/>
      </w:r>
      <w:r>
        <w:t xml:space="preserve"> </w:t>
      </w:r>
      <w:r w:rsidRPr="00396FEB">
        <w:t>Paul Davies and Mark Freedland, TOWARDS A FLEXIBLE LABOUR MARKET, Oxford University Press, 2007, p. 11.</w:t>
      </w:r>
    </w:p>
  </w:footnote>
  <w:footnote w:id="214">
    <w:p w14:paraId="22E2368B" w14:textId="5804994D" w:rsidR="00C13AFA" w:rsidRDefault="00C13AFA">
      <w:pPr>
        <w:pStyle w:val="ad"/>
      </w:pPr>
      <w:r>
        <w:rPr>
          <w:rStyle w:val="ae"/>
        </w:rPr>
        <w:footnoteRef/>
      </w:r>
      <w:r>
        <w:t xml:space="preserve"> </w:t>
      </w:r>
      <w:r w:rsidRPr="00396FEB">
        <w:t>Paul Davies and Mark Freedland, TOWARDS A FLEXIBLE LABOUR MARKET, Oxford University Press, 2007, p. 11.</w:t>
      </w:r>
    </w:p>
  </w:footnote>
  <w:footnote w:id="215">
    <w:p w14:paraId="1E66462C" w14:textId="75708F7D" w:rsidR="00C13AFA" w:rsidRDefault="00C13AFA">
      <w:pPr>
        <w:pStyle w:val="ad"/>
      </w:pPr>
      <w:r>
        <w:rPr>
          <w:rStyle w:val="ae"/>
        </w:rPr>
        <w:footnoteRef/>
      </w:r>
      <w:r>
        <w:t xml:space="preserve"> </w:t>
      </w:r>
      <w:r w:rsidRPr="00396FEB">
        <w:t>Paul Davies and Mark Freedland, TOWARDS A FLEXIBLE LABOUR MARKET, Oxford University Press, 2007, p. 11.</w:t>
      </w:r>
    </w:p>
  </w:footnote>
  <w:footnote w:id="216">
    <w:p w14:paraId="44A796BC" w14:textId="7E90C660" w:rsidR="00C13AFA" w:rsidRDefault="00C13AFA">
      <w:pPr>
        <w:pStyle w:val="ad"/>
      </w:pPr>
      <w:r>
        <w:rPr>
          <w:rStyle w:val="ae"/>
        </w:rPr>
        <w:footnoteRef/>
      </w:r>
      <w:r>
        <w:t xml:space="preserve"> </w:t>
      </w:r>
      <w:r w:rsidRPr="00396FEB">
        <w:t>Paul Davies and Mark Freedland, TOWARDS A FLEXIBLE LABOUR MARKET, Oxford University Press, 2007, p. 11.</w:t>
      </w:r>
    </w:p>
  </w:footnote>
  <w:footnote w:id="217">
    <w:p w14:paraId="7C1DE2CF" w14:textId="7F3E8D87" w:rsidR="00C13AFA" w:rsidRDefault="00C13AFA">
      <w:pPr>
        <w:pStyle w:val="ad"/>
      </w:pPr>
      <w:r>
        <w:rPr>
          <w:rStyle w:val="ae"/>
        </w:rPr>
        <w:footnoteRef/>
      </w:r>
      <w:r>
        <w:t xml:space="preserve"> </w:t>
      </w:r>
      <w:r w:rsidRPr="00396FEB">
        <w:t>Paul Davies and Mark Freedland, TOWARDS A FLEXIBLE LABOUR MARKET, Oxford University Press, 2007, p. 12.</w:t>
      </w:r>
    </w:p>
  </w:footnote>
  <w:footnote w:id="218">
    <w:p w14:paraId="7925AE43" w14:textId="06094E62" w:rsidR="00C13AFA" w:rsidRDefault="00C13AFA">
      <w:pPr>
        <w:pStyle w:val="ad"/>
      </w:pPr>
      <w:r>
        <w:rPr>
          <w:rStyle w:val="ae"/>
        </w:rPr>
        <w:footnoteRef/>
      </w:r>
      <w:r>
        <w:t xml:space="preserve"> </w:t>
      </w:r>
      <w:r w:rsidRPr="00396FEB">
        <w:t>Paul Davies and Mark Freedland, TOWARDS A FLEXIBLE LABOUR MARKET, Oxford University Press, 2007, p. 17.</w:t>
      </w:r>
    </w:p>
  </w:footnote>
  <w:footnote w:id="219">
    <w:p w14:paraId="2C067305" w14:textId="6C157A5B" w:rsidR="00C13AFA" w:rsidRDefault="00C13AFA">
      <w:pPr>
        <w:pStyle w:val="ad"/>
      </w:pPr>
      <w:r>
        <w:rPr>
          <w:rStyle w:val="ae"/>
        </w:rPr>
        <w:footnoteRef/>
      </w:r>
      <w:r>
        <w:t xml:space="preserve"> </w:t>
      </w:r>
      <w:proofErr w:type="spellStart"/>
      <w:r w:rsidRPr="00396FEB">
        <w:t>Cf</w:t>
      </w:r>
      <w:proofErr w:type="spellEnd"/>
      <w:r w:rsidRPr="00396FEB">
        <w:t xml:space="preserve">, for instance All </w:t>
      </w:r>
      <w:proofErr w:type="gramStart"/>
      <w:r w:rsidRPr="00396FEB">
        <w:t>Change?,</w:t>
      </w:r>
      <w:proofErr w:type="gramEnd"/>
      <w:r w:rsidRPr="00396FEB">
        <w:t xml:space="preserve"> N </w:t>
      </w:r>
      <w:proofErr w:type="spellStart"/>
      <w:r w:rsidRPr="00396FEB">
        <w:t>Millward</w:t>
      </w:r>
      <w:proofErr w:type="spellEnd"/>
      <w:r w:rsidRPr="00396FEB">
        <w:t xml:space="preserve">, A Bryson, and J Forth, All Change at Work? (London: Routledge, 2000), p 43-48. (‘Changing composition of the workforce’); S. </w:t>
      </w:r>
      <w:proofErr w:type="spellStart"/>
      <w:r w:rsidRPr="00396FEB">
        <w:t>Fredman</w:t>
      </w:r>
      <w:proofErr w:type="spellEnd"/>
      <w:r w:rsidRPr="00396FEB">
        <w:t>, ‘</w:t>
      </w:r>
      <w:proofErr w:type="spellStart"/>
      <w:r w:rsidRPr="00396FEB">
        <w:t>Labour</w:t>
      </w:r>
      <w:proofErr w:type="spellEnd"/>
      <w:r w:rsidRPr="00396FEB">
        <w:t xml:space="preserve"> Law in Flux: The Changing Composition of the Workforce’ (1997) 26 ILJ 337-352.</w:t>
      </w:r>
    </w:p>
  </w:footnote>
  <w:footnote w:id="220">
    <w:p w14:paraId="30DDBE3E" w14:textId="63893CE7" w:rsidR="00C13AFA" w:rsidRDefault="00C13AFA">
      <w:pPr>
        <w:pStyle w:val="ad"/>
      </w:pPr>
      <w:r>
        <w:rPr>
          <w:rStyle w:val="ae"/>
        </w:rPr>
        <w:footnoteRef/>
      </w:r>
      <w:r>
        <w:t xml:space="preserve"> </w:t>
      </w:r>
      <w:r w:rsidRPr="00396FEB">
        <w:t xml:space="preserve">N </w:t>
      </w:r>
      <w:proofErr w:type="spellStart"/>
      <w:r w:rsidRPr="00396FEB">
        <w:t>Millward</w:t>
      </w:r>
      <w:proofErr w:type="spellEnd"/>
      <w:r w:rsidRPr="00396FEB">
        <w:t xml:space="preserve">, A Bryson, and J Forth, All Change at Work? (London: Routledge, 2000), p 47-48; The Dynamics of Employee Relations, P Blyton and P Turnbull, The Dynamics of Employee Relations (3rd </w:t>
      </w:r>
      <w:proofErr w:type="spellStart"/>
      <w:r w:rsidRPr="00396FEB">
        <w:t>edn</w:t>
      </w:r>
      <w:proofErr w:type="spellEnd"/>
      <w:r w:rsidRPr="00396FEB">
        <w:t>, Basingstoke: Palgrave Macmillan, 2004).</w:t>
      </w:r>
    </w:p>
  </w:footnote>
  <w:footnote w:id="221">
    <w:p w14:paraId="00EF1607" w14:textId="16DBDF0C" w:rsidR="00C13AFA" w:rsidRDefault="00C13AFA">
      <w:pPr>
        <w:pStyle w:val="ad"/>
      </w:pPr>
      <w:r>
        <w:rPr>
          <w:rStyle w:val="ae"/>
        </w:rPr>
        <w:footnoteRef/>
      </w:r>
      <w:r>
        <w:t xml:space="preserve"> </w:t>
      </w:r>
      <w:r w:rsidRPr="00396FEB">
        <w:t>See, for instance, P Nolan and S Wood, ‘Mapping the Future of Work’ (2003) 41 BJIR 165-174.</w:t>
      </w:r>
    </w:p>
  </w:footnote>
  <w:footnote w:id="222">
    <w:p w14:paraId="511DB24D" w14:textId="7AE2D4BA" w:rsidR="00C13AFA" w:rsidRDefault="00C13AFA">
      <w:pPr>
        <w:pStyle w:val="ad"/>
      </w:pPr>
      <w:r>
        <w:rPr>
          <w:rStyle w:val="ae"/>
        </w:rPr>
        <w:footnoteRef/>
      </w:r>
      <w:r>
        <w:t xml:space="preserve"> </w:t>
      </w:r>
      <w:r w:rsidRPr="00396FEB">
        <w:t>Paul Davies and Mark Freedland, TOWARDS A FLEXIBLE LABOUR MARKET, Oxford University Press, 2007, p. 18.</w:t>
      </w:r>
    </w:p>
  </w:footnote>
  <w:footnote w:id="223">
    <w:p w14:paraId="0942B02E" w14:textId="0CD4359F" w:rsidR="00C13AFA" w:rsidRDefault="00C13AFA">
      <w:pPr>
        <w:pStyle w:val="ad"/>
      </w:pPr>
      <w:r w:rsidRPr="00297248">
        <w:rPr>
          <w:rStyle w:val="ae"/>
        </w:rPr>
        <w:footnoteRef/>
      </w:r>
      <w:r w:rsidRPr="00297248">
        <w:t xml:space="preserve"> See, http://www.esrcsocietytoday.ac.uk/ESRCInfoCentre/PO/releases/2003/june/top.aspx?ComponentId=2050&amp;SourcePageId=1404. </w:t>
      </w:r>
    </w:p>
  </w:footnote>
  <w:footnote w:id="224">
    <w:p w14:paraId="07721890" w14:textId="2ADE3F70" w:rsidR="00C13AFA" w:rsidRDefault="00C13AFA">
      <w:pPr>
        <w:pStyle w:val="ad"/>
      </w:pPr>
      <w:r>
        <w:rPr>
          <w:rStyle w:val="ae"/>
        </w:rPr>
        <w:footnoteRef/>
      </w:r>
      <w:r>
        <w:t xml:space="preserve"> </w:t>
      </w:r>
      <w:r w:rsidRPr="00396FEB">
        <w:t>http://www.esrcsocietytoday.ac.uk/ESRCInfoCentre/facts/index36.aspx?ComponentId=7109&amp;SourcePageId=7091.</w:t>
      </w:r>
    </w:p>
  </w:footnote>
  <w:footnote w:id="225">
    <w:p w14:paraId="4318F05C" w14:textId="6CE859E5" w:rsidR="00C13AFA" w:rsidRDefault="00C13AFA">
      <w:pPr>
        <w:pStyle w:val="ad"/>
      </w:pPr>
      <w:r>
        <w:rPr>
          <w:rStyle w:val="ae"/>
        </w:rPr>
        <w:footnoteRef/>
      </w:r>
      <w:r>
        <w:t xml:space="preserve"> </w:t>
      </w:r>
      <w:proofErr w:type="spellStart"/>
      <w:r w:rsidRPr="00396FEB">
        <w:t>cf</w:t>
      </w:r>
      <w:proofErr w:type="spellEnd"/>
      <w:r w:rsidRPr="00396FEB">
        <w:t xml:space="preserve"> S Deakin and F Wilkinson, The Law of the </w:t>
      </w:r>
      <w:proofErr w:type="spellStart"/>
      <w:r w:rsidRPr="00396FEB">
        <w:t>Labour</w:t>
      </w:r>
      <w:proofErr w:type="spellEnd"/>
      <w:r w:rsidRPr="00396FEB">
        <w:t xml:space="preserve"> Market- </w:t>
      </w:r>
      <w:proofErr w:type="spellStart"/>
      <w:r w:rsidRPr="00396FEB">
        <w:t>Industrialisation</w:t>
      </w:r>
      <w:proofErr w:type="spellEnd"/>
      <w:r w:rsidRPr="00396FEB">
        <w:t>, Employment and Legal Evolution (</w:t>
      </w:r>
      <w:proofErr w:type="spellStart"/>
      <w:proofErr w:type="gramStart"/>
      <w:r w:rsidRPr="00396FEB">
        <w:t>Oxford:OUP</w:t>
      </w:r>
      <w:proofErr w:type="spellEnd"/>
      <w:proofErr w:type="gramEnd"/>
      <w:r w:rsidRPr="00396FEB">
        <w:t xml:space="preserve">, 2005) at 310-311 for discussion of confusion in the </w:t>
      </w:r>
      <w:proofErr w:type="spellStart"/>
      <w:r w:rsidRPr="00396FEB">
        <w:t>Labour</w:t>
      </w:r>
      <w:proofErr w:type="spellEnd"/>
      <w:r w:rsidRPr="00396FEB">
        <w:t xml:space="preserve"> Force Survey data between self-employment and casual employment.</w:t>
      </w:r>
    </w:p>
  </w:footnote>
  <w:footnote w:id="226">
    <w:p w14:paraId="76DCB353" w14:textId="6728E717" w:rsidR="00C13AFA" w:rsidRDefault="00C13AFA">
      <w:pPr>
        <w:pStyle w:val="ad"/>
      </w:pPr>
      <w:r>
        <w:rPr>
          <w:rStyle w:val="ae"/>
        </w:rPr>
        <w:footnoteRef/>
      </w:r>
      <w:r>
        <w:t xml:space="preserve"> </w:t>
      </w:r>
      <w:r w:rsidRPr="00396FEB">
        <w:t>Paul Davies and Mark Freedland, TOWARDS A FLEXIBLE LABOUR MARKET, Oxford University Press, 2007, p. 18.</w:t>
      </w:r>
    </w:p>
  </w:footnote>
  <w:footnote w:id="227">
    <w:p w14:paraId="04ADA7C7" w14:textId="6F51B492" w:rsidR="00C13AFA" w:rsidRDefault="00C13AFA">
      <w:pPr>
        <w:pStyle w:val="ad"/>
      </w:pPr>
      <w:r>
        <w:rPr>
          <w:rStyle w:val="ae"/>
        </w:rPr>
        <w:footnoteRef/>
      </w:r>
      <w:r>
        <w:t xml:space="preserve"> </w:t>
      </w:r>
      <w:r w:rsidRPr="00396FEB">
        <w:t>Paul Davies and Mark Freedland, TOWARDS A FLEXIBLE LABOUR MARKET, Oxford University Press, 2007, p. 18.</w:t>
      </w:r>
    </w:p>
  </w:footnote>
  <w:footnote w:id="228">
    <w:p w14:paraId="03ED9C5B" w14:textId="3C5E086C" w:rsidR="00C13AFA" w:rsidRDefault="00C13AFA">
      <w:pPr>
        <w:pStyle w:val="ad"/>
      </w:pPr>
      <w:r>
        <w:rPr>
          <w:rStyle w:val="ae"/>
        </w:rPr>
        <w:footnoteRef/>
      </w:r>
      <w:r>
        <w:t xml:space="preserve"> </w:t>
      </w:r>
      <w:r w:rsidRPr="00396FEB">
        <w:t>Paul Davies and Mark Freedland, TOWARDS A FLEXIBLE LABOUR MARKET, Oxford University Press, 2007, p. 18.</w:t>
      </w:r>
    </w:p>
  </w:footnote>
  <w:footnote w:id="229">
    <w:p w14:paraId="05FE65C4" w14:textId="14FCE934" w:rsidR="00C13AFA" w:rsidRDefault="00C13AFA">
      <w:pPr>
        <w:pStyle w:val="ad"/>
      </w:pPr>
      <w:r>
        <w:rPr>
          <w:rStyle w:val="ae"/>
        </w:rPr>
        <w:footnoteRef/>
      </w:r>
      <w:r>
        <w:t xml:space="preserve"> </w:t>
      </w:r>
      <w:r w:rsidRPr="00253B56">
        <w:t>Paul Davies and Mark Freedland, TOWARDS A FLEXIBLE LABOUR MARKET, Oxford University Press, 2007, p. 18-19.</w:t>
      </w:r>
    </w:p>
  </w:footnote>
  <w:footnote w:id="230">
    <w:p w14:paraId="6E37847D" w14:textId="3E99C60F" w:rsidR="00C13AFA" w:rsidRDefault="00C13AFA">
      <w:pPr>
        <w:pStyle w:val="ad"/>
      </w:pPr>
      <w:r>
        <w:rPr>
          <w:rStyle w:val="ae"/>
        </w:rPr>
        <w:footnoteRef/>
      </w:r>
      <w:r>
        <w:t xml:space="preserve"> </w:t>
      </w:r>
      <w:r w:rsidRPr="00253B56">
        <w:t>Paul Davies and Mark Freedland, TOWARDS A FLEXIBLE LABOUR MARKET, Oxford University Press, 2007, p. 19.</w:t>
      </w:r>
    </w:p>
  </w:footnote>
  <w:footnote w:id="231">
    <w:p w14:paraId="49DF1C64" w14:textId="331E5182" w:rsidR="00C13AFA" w:rsidRDefault="00C13AFA">
      <w:pPr>
        <w:pStyle w:val="ad"/>
      </w:pPr>
      <w:r>
        <w:rPr>
          <w:rStyle w:val="ae"/>
        </w:rPr>
        <w:footnoteRef/>
      </w:r>
      <w:r>
        <w:t xml:space="preserve"> </w:t>
      </w:r>
      <w:r w:rsidRPr="00253B56">
        <w:t>Paul Davies and Mark Freedland, TOWARDS A FLEXIBLE LABOUR MARKET, Oxford University Press, 2007, p. 19.</w:t>
      </w:r>
    </w:p>
  </w:footnote>
  <w:footnote w:id="232">
    <w:p w14:paraId="366A8392" w14:textId="47CE0A59" w:rsidR="00C13AFA" w:rsidRDefault="00C13AFA">
      <w:pPr>
        <w:pStyle w:val="ad"/>
      </w:pPr>
      <w:r>
        <w:rPr>
          <w:rStyle w:val="ae"/>
        </w:rPr>
        <w:footnoteRef/>
      </w:r>
      <w:r>
        <w:t xml:space="preserve"> </w:t>
      </w:r>
      <w:r w:rsidRPr="00B264A3">
        <w:t>Paul Davies and Mark Freedland, TOWARDS A FLEXIBLE LABOUR MARKET, Oxford University Press, 2007, p. 19.</w:t>
      </w:r>
    </w:p>
  </w:footnote>
  <w:footnote w:id="233">
    <w:p w14:paraId="153C408F" w14:textId="44CF1F11" w:rsidR="00C13AFA" w:rsidRDefault="00C13AFA">
      <w:pPr>
        <w:pStyle w:val="ad"/>
      </w:pPr>
      <w:r>
        <w:rPr>
          <w:rStyle w:val="ae"/>
        </w:rPr>
        <w:footnoteRef/>
      </w:r>
      <w:r>
        <w:t xml:space="preserve"> </w:t>
      </w:r>
      <w:r w:rsidRPr="00B264A3">
        <w:t>Paul Davies and Mark Freedland, TOWARDS A FLEXIBLE LABOUR MARKET, Oxford University Press, 2007, p. 19.</w:t>
      </w:r>
    </w:p>
  </w:footnote>
  <w:footnote w:id="234">
    <w:p w14:paraId="57568D56" w14:textId="7DE2949F" w:rsidR="00C13AFA" w:rsidRDefault="00C13AFA">
      <w:pPr>
        <w:pStyle w:val="ad"/>
      </w:pPr>
      <w:r>
        <w:rPr>
          <w:rStyle w:val="ae"/>
        </w:rPr>
        <w:footnoteRef/>
      </w:r>
      <w:r>
        <w:t xml:space="preserve"> </w:t>
      </w:r>
      <w:r w:rsidRPr="00B264A3">
        <w:t>Paul Davies and Mark Freedland, TOWARDS A FLEXIBLE LABOUR MARKET, Oxford University Press, 2007, p. 19.</w:t>
      </w:r>
    </w:p>
  </w:footnote>
  <w:footnote w:id="235">
    <w:p w14:paraId="769F2381" w14:textId="2004E88D" w:rsidR="00C13AFA" w:rsidRDefault="00C13AFA">
      <w:pPr>
        <w:pStyle w:val="ad"/>
      </w:pPr>
      <w:r>
        <w:rPr>
          <w:rStyle w:val="ae"/>
        </w:rPr>
        <w:footnoteRef/>
      </w:r>
      <w:r>
        <w:t xml:space="preserve"> </w:t>
      </w:r>
      <w:r w:rsidRPr="00B264A3">
        <w:t>Paul Davies and Mark Freedland, TOWARDS A FLEXIBLE LABOUR MARKET, Oxford University Press, 2007, p. 19.</w:t>
      </w:r>
    </w:p>
  </w:footnote>
  <w:footnote w:id="236">
    <w:p w14:paraId="650523AB" w14:textId="06C98F86" w:rsidR="00C13AFA" w:rsidRDefault="00C13AFA">
      <w:pPr>
        <w:pStyle w:val="ad"/>
      </w:pPr>
      <w:r>
        <w:rPr>
          <w:rStyle w:val="ae"/>
        </w:rPr>
        <w:footnoteRef/>
      </w:r>
      <w:r>
        <w:t xml:space="preserve"> </w:t>
      </w:r>
      <w:r w:rsidRPr="00B264A3">
        <w:t>Paul Davies and Mark Freedland, TOWARDS A FLEXIBLE LABOUR MARKET, Oxford University Press, 2007, p. 19.</w:t>
      </w:r>
    </w:p>
  </w:footnote>
  <w:footnote w:id="237">
    <w:p w14:paraId="28F28E86" w14:textId="041A777B" w:rsidR="00C13AFA" w:rsidRDefault="00C13AFA">
      <w:pPr>
        <w:pStyle w:val="ad"/>
      </w:pPr>
      <w:r>
        <w:rPr>
          <w:rStyle w:val="ae"/>
        </w:rPr>
        <w:footnoteRef/>
      </w:r>
      <w:r>
        <w:t xml:space="preserve"> </w:t>
      </w:r>
      <w:r w:rsidRPr="00B264A3">
        <w:t>Paul Davies and Mark Freedland, TOWARDS A FLEXIBLE LABOUR MARKET, Oxford University Press, 2007, p. 19.</w:t>
      </w:r>
    </w:p>
  </w:footnote>
  <w:footnote w:id="238">
    <w:p w14:paraId="66F809B0" w14:textId="148EDF91" w:rsidR="00C13AFA" w:rsidRDefault="00C13AFA">
      <w:pPr>
        <w:pStyle w:val="ad"/>
      </w:pPr>
      <w:r>
        <w:rPr>
          <w:rStyle w:val="ae"/>
        </w:rPr>
        <w:footnoteRef/>
      </w:r>
      <w:r>
        <w:t xml:space="preserve"> </w:t>
      </w:r>
      <w:proofErr w:type="spellStart"/>
      <w:r w:rsidRPr="00B264A3">
        <w:t>Mr</w:t>
      </w:r>
      <w:proofErr w:type="spellEnd"/>
      <w:r w:rsidRPr="00B264A3">
        <w:t xml:space="preserve"> Major’s administration ran from Nov 1990 when Margaret Thatcher resigned from being Prime Minister, through the General Election of May 1992 until the General Election of May 1997.</w:t>
      </w:r>
    </w:p>
  </w:footnote>
  <w:footnote w:id="239">
    <w:p w14:paraId="3D85970B" w14:textId="531F91BA" w:rsidR="00C13AFA" w:rsidRDefault="00C13AFA">
      <w:pPr>
        <w:pStyle w:val="ad"/>
      </w:pPr>
      <w:r>
        <w:rPr>
          <w:rStyle w:val="ae"/>
        </w:rPr>
        <w:footnoteRef/>
      </w:r>
      <w:r>
        <w:t xml:space="preserve"> </w:t>
      </w:r>
      <w:r w:rsidRPr="00B264A3">
        <w:t>From May 1997 to May 2001, from May 2001 to May 2005, and from May 2005 to June 2010.</w:t>
      </w:r>
    </w:p>
  </w:footnote>
  <w:footnote w:id="240">
    <w:p w14:paraId="6051EA35" w14:textId="0BA18F91" w:rsidR="00C13AFA" w:rsidRDefault="00C13AFA">
      <w:pPr>
        <w:pStyle w:val="ad"/>
      </w:pPr>
      <w:r>
        <w:rPr>
          <w:rStyle w:val="ae"/>
        </w:rPr>
        <w:footnoteRef/>
      </w:r>
      <w:r>
        <w:t xml:space="preserve"> </w:t>
      </w:r>
      <w:r w:rsidRPr="00B264A3">
        <w:t xml:space="preserve">Those developments are shown by the papers in G White and J </w:t>
      </w:r>
      <w:proofErr w:type="spellStart"/>
      <w:r w:rsidRPr="00B264A3">
        <w:t>Druker</w:t>
      </w:r>
      <w:proofErr w:type="spellEnd"/>
      <w:r w:rsidRPr="00B264A3">
        <w:t xml:space="preserve"> (eds), Reward Management-A Critical Text (London and New York: Routledge, 2000).</w:t>
      </w:r>
    </w:p>
  </w:footnote>
  <w:footnote w:id="241">
    <w:p w14:paraId="4FEA6548" w14:textId="3D64E144" w:rsidR="00C13AFA" w:rsidRDefault="00C13AFA">
      <w:pPr>
        <w:pStyle w:val="ad"/>
      </w:pPr>
      <w:r>
        <w:rPr>
          <w:rStyle w:val="ae"/>
        </w:rPr>
        <w:footnoteRef/>
      </w:r>
      <w:r>
        <w:t xml:space="preserve"> </w:t>
      </w:r>
      <w:r w:rsidRPr="00B264A3">
        <w:t xml:space="preserve">J Rubery, J Earnshaw, M Marchington, F L Cooke, and S Vincent, ‘Changing </w:t>
      </w:r>
      <w:proofErr w:type="spellStart"/>
      <w:r w:rsidRPr="00B264A3">
        <w:t>Organisational</w:t>
      </w:r>
      <w:proofErr w:type="spellEnd"/>
      <w:r w:rsidRPr="00B264A3">
        <w:t xml:space="preserve"> Forms and the Employment Relationship’ (2002) 39 Journal of Management Studies 645-672 at 645.</w:t>
      </w:r>
    </w:p>
  </w:footnote>
  <w:footnote w:id="242">
    <w:p w14:paraId="6CEB122B" w14:textId="04EBF1D1" w:rsidR="00C13AFA" w:rsidRDefault="00C13AFA">
      <w:pPr>
        <w:pStyle w:val="ad"/>
      </w:pPr>
      <w:r>
        <w:rPr>
          <w:rStyle w:val="ae"/>
        </w:rPr>
        <w:footnoteRef/>
      </w:r>
      <w:r>
        <w:t xml:space="preserve"> </w:t>
      </w:r>
      <w:r w:rsidRPr="00B264A3">
        <w:t xml:space="preserve">See, generally, M Marchington, D Grimshaw, J Rubery, and H Willmott, Fragmenting Work-Blurring </w:t>
      </w:r>
      <w:proofErr w:type="spellStart"/>
      <w:r w:rsidRPr="00B264A3">
        <w:t>Organisational</w:t>
      </w:r>
      <w:proofErr w:type="spellEnd"/>
      <w:r w:rsidRPr="00B264A3">
        <w:t xml:space="preserve"> Boundaries and Disordering Hierarchies (</w:t>
      </w:r>
      <w:proofErr w:type="spellStart"/>
      <w:proofErr w:type="gramStart"/>
      <w:r w:rsidRPr="00B264A3">
        <w:t>Oxford:OUP</w:t>
      </w:r>
      <w:proofErr w:type="spellEnd"/>
      <w:proofErr w:type="gramEnd"/>
      <w:r w:rsidRPr="00B264A3">
        <w:t>, 2005).</w:t>
      </w:r>
    </w:p>
  </w:footnote>
  <w:footnote w:id="243">
    <w:p w14:paraId="013E337C" w14:textId="18FF3022" w:rsidR="00C13AFA" w:rsidRDefault="00C13AFA">
      <w:pPr>
        <w:pStyle w:val="ad"/>
      </w:pPr>
      <w:r>
        <w:rPr>
          <w:rStyle w:val="ae"/>
        </w:rPr>
        <w:footnoteRef/>
      </w:r>
      <w:r>
        <w:t xml:space="preserve"> </w:t>
      </w:r>
      <w:r w:rsidRPr="00B264A3">
        <w:t>Paul Davies and Mark Freedland, TOWARDS A FLEXIBLE LABOUR MARKET, Oxford University Press, 2007, p. 20.</w:t>
      </w:r>
    </w:p>
  </w:footnote>
  <w:footnote w:id="244">
    <w:p w14:paraId="0C7638C8" w14:textId="42BEC661" w:rsidR="00C13AFA" w:rsidRDefault="00C13AFA">
      <w:pPr>
        <w:pStyle w:val="ad"/>
      </w:pPr>
      <w:r>
        <w:rPr>
          <w:rStyle w:val="ae"/>
        </w:rPr>
        <w:footnoteRef/>
      </w:r>
      <w:r>
        <w:t xml:space="preserve"> </w:t>
      </w:r>
      <w:r w:rsidRPr="00B264A3">
        <w:t xml:space="preserve">Compare, for instance, W Brown, S Deakin, M Hudson, C </w:t>
      </w:r>
      <w:proofErr w:type="spellStart"/>
      <w:r w:rsidRPr="00B264A3">
        <w:t>Pratten</w:t>
      </w:r>
      <w:proofErr w:type="spellEnd"/>
      <w:r w:rsidRPr="00B264A3">
        <w:t xml:space="preserve">, and P Ryan, The </w:t>
      </w:r>
      <w:proofErr w:type="spellStart"/>
      <w:r w:rsidRPr="00B264A3">
        <w:t>Individualisation</w:t>
      </w:r>
      <w:proofErr w:type="spellEnd"/>
      <w:r w:rsidRPr="00B264A3">
        <w:t xml:space="preserve"> of the Employment Contract in Britain (London: DTI Employment Relations </w:t>
      </w:r>
      <w:proofErr w:type="spellStart"/>
      <w:r w:rsidRPr="00B264A3">
        <w:t>Resesarch</w:t>
      </w:r>
      <w:proofErr w:type="spellEnd"/>
      <w:r w:rsidRPr="00B264A3">
        <w:t xml:space="preserve"> Series, 1998); T Colling, ‘Managing without Unions: The Sources and Limitations of Individualism’, chapter 14 of P Edwards (ed), Industrial Relations Theory and Practice (2nd </w:t>
      </w:r>
      <w:proofErr w:type="spellStart"/>
      <w:r w:rsidRPr="00B264A3">
        <w:t>edn</w:t>
      </w:r>
      <w:proofErr w:type="spellEnd"/>
      <w:r w:rsidRPr="00B264A3">
        <w:t>, Oxford: Blackwell Publishing, 2003).</w:t>
      </w:r>
    </w:p>
  </w:footnote>
  <w:footnote w:id="245">
    <w:p w14:paraId="384D6CBA" w14:textId="4E7E1337" w:rsidR="00C13AFA" w:rsidRDefault="00C13AFA">
      <w:pPr>
        <w:pStyle w:val="ad"/>
      </w:pPr>
      <w:r>
        <w:rPr>
          <w:rStyle w:val="ae"/>
        </w:rPr>
        <w:footnoteRef/>
      </w:r>
      <w:r>
        <w:t xml:space="preserve"> </w:t>
      </w:r>
      <w:r w:rsidRPr="00B264A3">
        <w:t>Paul Davies and Mark Freedland, TOWARDS A FLEXIBLE LABOUR MARKET, Oxford University Press, 2007, p. 20.</w:t>
      </w:r>
    </w:p>
  </w:footnote>
  <w:footnote w:id="246">
    <w:p w14:paraId="5D82F1E9" w14:textId="7C39AE3E" w:rsidR="00C13AFA" w:rsidRDefault="00C13AFA">
      <w:pPr>
        <w:pStyle w:val="ad"/>
      </w:pPr>
      <w:r>
        <w:rPr>
          <w:rStyle w:val="ae"/>
        </w:rPr>
        <w:footnoteRef/>
      </w:r>
      <w:r>
        <w:t xml:space="preserve"> </w:t>
      </w:r>
      <w:r w:rsidRPr="00B264A3">
        <w:t>See for instance H Collins, ‘Legal Responses to the Standard Form Contract of Employment’ (March 2007) 36 issue 1, International Law Journal.</w:t>
      </w:r>
    </w:p>
  </w:footnote>
  <w:footnote w:id="247">
    <w:p w14:paraId="5959D0C8" w14:textId="3F60AC49" w:rsidR="00C13AFA" w:rsidRDefault="00C13AFA">
      <w:pPr>
        <w:pStyle w:val="ad"/>
      </w:pPr>
      <w:r>
        <w:rPr>
          <w:rStyle w:val="ae"/>
        </w:rPr>
        <w:footnoteRef/>
      </w:r>
      <w:r>
        <w:t xml:space="preserve"> </w:t>
      </w:r>
      <w:r w:rsidRPr="00B264A3">
        <w:t>Paul Davies and Mark Freedland, TOWARDS A FLEXIBLE LABOUR MARKET, Oxford University Press, 2007, p. 21.</w:t>
      </w:r>
    </w:p>
  </w:footnote>
  <w:footnote w:id="248">
    <w:p w14:paraId="52124E55" w14:textId="4CA574D9" w:rsidR="00C13AFA" w:rsidRDefault="00C13AFA">
      <w:pPr>
        <w:pStyle w:val="ad"/>
      </w:pPr>
      <w:r>
        <w:rPr>
          <w:rStyle w:val="ae"/>
        </w:rPr>
        <w:footnoteRef/>
      </w:r>
      <w:r>
        <w:t xml:space="preserve"> </w:t>
      </w:r>
      <w:r w:rsidRPr="00B264A3">
        <w:t>The idea of managerial flexibility or adaptability as here articulated has some similarity to, and is in some measure inspired by, the notion of ‘flexible employment’ as outlined in H Collins, ‘Regulating the Employment Relations for Competitiveness’ (2001) 30 ILJ 17-47 especially at 25-31, though it will also be apparent that there are differences in emphasis and focus.</w:t>
      </w:r>
    </w:p>
  </w:footnote>
  <w:footnote w:id="249">
    <w:p w14:paraId="03D976E8" w14:textId="4C3C6F82" w:rsidR="00C13AFA" w:rsidRDefault="00C13AFA">
      <w:pPr>
        <w:pStyle w:val="ad"/>
      </w:pPr>
      <w:r>
        <w:rPr>
          <w:rStyle w:val="ae"/>
        </w:rPr>
        <w:footnoteRef/>
      </w:r>
      <w:r>
        <w:t xml:space="preserve"> </w:t>
      </w:r>
      <w:r w:rsidRPr="00B264A3">
        <w:t>Paul Davies and Mark Freedland, TOWARDS A FLEXIBLE LABOUR MARKET, Oxford University Press, 2007, p. 21.</w:t>
      </w:r>
    </w:p>
  </w:footnote>
  <w:footnote w:id="250">
    <w:p w14:paraId="4D986C57" w14:textId="7873D30B" w:rsidR="00C13AFA" w:rsidRDefault="00C13AFA">
      <w:pPr>
        <w:pStyle w:val="ad"/>
      </w:pPr>
      <w:r>
        <w:rPr>
          <w:rStyle w:val="ae"/>
        </w:rPr>
        <w:footnoteRef/>
      </w:r>
      <w:r>
        <w:t xml:space="preserve"> </w:t>
      </w:r>
      <w:proofErr w:type="spellStart"/>
      <w:r w:rsidRPr="00B264A3">
        <w:t>Cf</w:t>
      </w:r>
      <w:proofErr w:type="spellEnd"/>
      <w:r w:rsidRPr="00B264A3">
        <w:t xml:space="preserve"> W Brown, P </w:t>
      </w:r>
      <w:proofErr w:type="spellStart"/>
      <w:r w:rsidRPr="00B264A3">
        <w:t>Marginson</w:t>
      </w:r>
      <w:proofErr w:type="spellEnd"/>
      <w:r w:rsidRPr="00B264A3">
        <w:t xml:space="preserve">, and J Walsh, ‘The Management of Pay as the Influence of Collective Bargaining Diminishes’, chapter 8 of Industrial Relations Theory and Practice (2nd </w:t>
      </w:r>
      <w:proofErr w:type="spellStart"/>
      <w:r w:rsidRPr="00B264A3">
        <w:t>edn</w:t>
      </w:r>
      <w:proofErr w:type="spellEnd"/>
      <w:r w:rsidRPr="00B264A3">
        <w:t>, Oxford: Blackwell Publishing, 2003).</w:t>
      </w:r>
    </w:p>
  </w:footnote>
  <w:footnote w:id="251">
    <w:p w14:paraId="406B83F1" w14:textId="2EF6F77B" w:rsidR="00C13AFA" w:rsidRDefault="00C13AFA">
      <w:pPr>
        <w:pStyle w:val="ad"/>
      </w:pPr>
      <w:r>
        <w:rPr>
          <w:rStyle w:val="ae"/>
        </w:rPr>
        <w:footnoteRef/>
      </w:r>
      <w:r>
        <w:t xml:space="preserve"> </w:t>
      </w:r>
      <w:r w:rsidRPr="00B264A3">
        <w:t>Paul Davies and Mark Freedland, TOWARDS A FLEXIBLE LABOUR MARKET, Oxford University Press, 2007, p. 21-22.</w:t>
      </w:r>
    </w:p>
  </w:footnote>
  <w:footnote w:id="252">
    <w:p w14:paraId="4B9D52EF" w14:textId="59C46B41" w:rsidR="00C13AFA" w:rsidRDefault="00C13AFA">
      <w:pPr>
        <w:pStyle w:val="ad"/>
      </w:pPr>
      <w:r>
        <w:rPr>
          <w:rStyle w:val="ae"/>
        </w:rPr>
        <w:footnoteRef/>
      </w:r>
      <w:r>
        <w:t xml:space="preserve"> </w:t>
      </w:r>
      <w:r w:rsidRPr="00B264A3">
        <w:t>Paul Davies and Mark Freedland, TOWARDS A FLEXIBLE LABOUR MARKET, Oxford University Press, 2007, p. 22.</w:t>
      </w:r>
    </w:p>
  </w:footnote>
  <w:footnote w:id="253">
    <w:p w14:paraId="49608EF7" w14:textId="5463218E" w:rsidR="00C13AFA" w:rsidRDefault="00C13AFA">
      <w:pPr>
        <w:pStyle w:val="ad"/>
      </w:pPr>
      <w:r>
        <w:rPr>
          <w:rStyle w:val="ae"/>
        </w:rPr>
        <w:footnoteRef/>
      </w:r>
      <w:r>
        <w:t xml:space="preserve"> </w:t>
      </w:r>
      <w:r w:rsidRPr="00B264A3">
        <w:t xml:space="preserve">Some useful detail of the extent of this shift is provided by N </w:t>
      </w:r>
      <w:proofErr w:type="spellStart"/>
      <w:r w:rsidRPr="00B264A3">
        <w:t>Millward</w:t>
      </w:r>
      <w:proofErr w:type="spellEnd"/>
      <w:r w:rsidRPr="00B264A3">
        <w:t xml:space="preserve">, A Bryson and J Forth, All Change at </w:t>
      </w:r>
      <w:proofErr w:type="gramStart"/>
      <w:r w:rsidRPr="00B264A3">
        <w:t>Work?,</w:t>
      </w:r>
      <w:proofErr w:type="gramEnd"/>
      <w:r w:rsidRPr="00B264A3">
        <w:t xml:space="preserve"> P.18-23.</w:t>
      </w:r>
    </w:p>
  </w:footnote>
  <w:footnote w:id="254">
    <w:p w14:paraId="635A8C7C" w14:textId="76424186" w:rsidR="00C13AFA" w:rsidRDefault="00C13AFA">
      <w:pPr>
        <w:pStyle w:val="ad"/>
      </w:pPr>
      <w:r>
        <w:rPr>
          <w:rStyle w:val="ae"/>
        </w:rPr>
        <w:footnoteRef/>
      </w:r>
      <w:r>
        <w:t xml:space="preserve"> </w:t>
      </w:r>
      <w:r w:rsidRPr="00B264A3">
        <w:t>Paul Davies and Mark Freedland, TOWARDS A FLEXIBLE LABOUR MARKET, Oxford University Press, 2007, p. 22.</w:t>
      </w:r>
    </w:p>
  </w:footnote>
  <w:footnote w:id="255">
    <w:p w14:paraId="7C14A523" w14:textId="11B9BAB1" w:rsidR="00C13AFA" w:rsidRDefault="00C13AFA">
      <w:pPr>
        <w:pStyle w:val="ad"/>
      </w:pPr>
      <w:r>
        <w:rPr>
          <w:rStyle w:val="ae"/>
        </w:rPr>
        <w:footnoteRef/>
      </w:r>
      <w:r>
        <w:t xml:space="preserve"> </w:t>
      </w:r>
      <w:r w:rsidRPr="00B264A3">
        <w:t xml:space="preserve">N </w:t>
      </w:r>
      <w:proofErr w:type="spellStart"/>
      <w:r w:rsidRPr="00B264A3">
        <w:t>Millward</w:t>
      </w:r>
      <w:proofErr w:type="spellEnd"/>
      <w:r w:rsidRPr="00B264A3">
        <w:t xml:space="preserve">, A Bryson and J Forth, All Change at </w:t>
      </w:r>
      <w:proofErr w:type="gramStart"/>
      <w:r w:rsidRPr="00B264A3">
        <w:t>Work?,</w:t>
      </w:r>
      <w:proofErr w:type="gramEnd"/>
      <w:r w:rsidRPr="00B264A3">
        <w:t xml:space="preserve"> P. 50-59, 61-82; P Blyton and P Turnbull, The Dynamics of Employee Relations (3rd end, Basingstoke: Palgrave Macmillan, 2004), p. 111-121.</w:t>
      </w:r>
    </w:p>
  </w:footnote>
  <w:footnote w:id="256">
    <w:p w14:paraId="14DC699B" w14:textId="3A377CA6" w:rsidR="00C13AFA" w:rsidRDefault="00C13AFA">
      <w:pPr>
        <w:pStyle w:val="ad"/>
      </w:pPr>
      <w:r>
        <w:rPr>
          <w:rStyle w:val="ae"/>
        </w:rPr>
        <w:footnoteRef/>
      </w:r>
      <w:r>
        <w:t xml:space="preserve"> </w:t>
      </w:r>
      <w:r w:rsidRPr="00B264A3">
        <w:t>Paul Davies and Mark Freedland, TOWARDS A FLEXIBLE LABOUR MARKET, Oxford University Press, 2007, p. 22.</w:t>
      </w:r>
    </w:p>
  </w:footnote>
  <w:footnote w:id="257">
    <w:p w14:paraId="4F3F3934" w14:textId="58BCD7A9" w:rsidR="00C13AFA" w:rsidRDefault="00C13AFA">
      <w:pPr>
        <w:pStyle w:val="ad"/>
      </w:pPr>
      <w:r>
        <w:rPr>
          <w:rStyle w:val="ae"/>
        </w:rPr>
        <w:footnoteRef/>
      </w:r>
      <w:r>
        <w:t xml:space="preserve"> </w:t>
      </w:r>
      <w:r w:rsidRPr="00B264A3">
        <w:t>Paul Davies and Mark Freedland, TOWARDS A FLEXIBLE LABOUR MARKET, Oxford University Press, 2007, p. 22-23.</w:t>
      </w:r>
    </w:p>
  </w:footnote>
  <w:footnote w:id="258">
    <w:p w14:paraId="0ACA2288" w14:textId="60D6F05B" w:rsidR="00C13AFA" w:rsidRDefault="00C13AFA">
      <w:pPr>
        <w:pStyle w:val="ad"/>
      </w:pPr>
      <w:r>
        <w:rPr>
          <w:rStyle w:val="ae"/>
        </w:rPr>
        <w:footnoteRef/>
      </w:r>
      <w:r>
        <w:t xml:space="preserve"> </w:t>
      </w:r>
      <w:r w:rsidRPr="00B264A3">
        <w:t>Paul Davies and Mark Freedland, TOWARDS A FLEXIBLE LABOUR MARKET, Oxford University Press, 2007, p. 23.</w:t>
      </w:r>
    </w:p>
  </w:footnote>
  <w:footnote w:id="259">
    <w:p w14:paraId="670C2E07" w14:textId="7E5AB51C" w:rsidR="00C13AFA" w:rsidRDefault="00C13AFA">
      <w:pPr>
        <w:pStyle w:val="ad"/>
      </w:pPr>
      <w:r>
        <w:rPr>
          <w:rStyle w:val="ae"/>
        </w:rPr>
        <w:footnoteRef/>
      </w:r>
      <w:r>
        <w:t xml:space="preserve"> </w:t>
      </w:r>
      <w:r w:rsidRPr="00B264A3">
        <w:t>Paul Davies and Mark Freedland, TOWARDS A FLEXIBLE LABOUR MARKET, Oxford University Press, 2007, p. 23.</w:t>
      </w:r>
    </w:p>
  </w:footnote>
  <w:footnote w:id="260">
    <w:p w14:paraId="5E2DFF28" w14:textId="1D09747D" w:rsidR="00C13AFA" w:rsidRDefault="00C13AFA">
      <w:pPr>
        <w:pStyle w:val="ad"/>
      </w:pPr>
      <w:r>
        <w:rPr>
          <w:rStyle w:val="ae"/>
        </w:rPr>
        <w:footnoteRef/>
      </w:r>
      <w:r>
        <w:t xml:space="preserve"> </w:t>
      </w:r>
      <w:r w:rsidRPr="00B264A3">
        <w:t>Paul Davies and Mark Freedland, TOWARDS A FLEXIBLE LABOUR MARKET, Oxford University Press, 2007, p. 23.</w:t>
      </w:r>
    </w:p>
  </w:footnote>
  <w:footnote w:id="261">
    <w:p w14:paraId="591B7A64" w14:textId="15AE7E35" w:rsidR="00C13AFA" w:rsidRDefault="00C13AFA">
      <w:pPr>
        <w:pStyle w:val="ad"/>
      </w:pPr>
      <w:r>
        <w:rPr>
          <w:rStyle w:val="ae"/>
        </w:rPr>
        <w:footnoteRef/>
      </w:r>
      <w:r>
        <w:t xml:space="preserve"> </w:t>
      </w:r>
      <w:r w:rsidRPr="00B264A3">
        <w:t>Paul Davies and Mark Freedland, TOWARDS A FLEXIBLE LABOUR MARKET, Oxford University Press, 2007, p. 23.</w:t>
      </w:r>
    </w:p>
  </w:footnote>
  <w:footnote w:id="262">
    <w:p w14:paraId="14F73693" w14:textId="69DDB0D8" w:rsidR="00C13AFA" w:rsidRDefault="00C13AFA">
      <w:pPr>
        <w:pStyle w:val="ad"/>
      </w:pPr>
      <w:r>
        <w:rPr>
          <w:rStyle w:val="ae"/>
        </w:rPr>
        <w:footnoteRef/>
      </w:r>
      <w:r>
        <w:t xml:space="preserve"> </w:t>
      </w:r>
      <w:r w:rsidRPr="00B264A3">
        <w:t>Paul Davies and Mark Freedland, TOWARDS A FLEXIBLE LABOUR MARKET, Oxford University Press, 2007, p. 24.</w:t>
      </w:r>
    </w:p>
  </w:footnote>
  <w:footnote w:id="263">
    <w:p w14:paraId="1EC844DE" w14:textId="652C9AB5" w:rsidR="00C13AFA" w:rsidRDefault="00C13AFA">
      <w:pPr>
        <w:pStyle w:val="ad"/>
      </w:pPr>
      <w:r>
        <w:rPr>
          <w:rStyle w:val="ae"/>
        </w:rPr>
        <w:footnoteRef/>
      </w:r>
      <w:r>
        <w:t xml:space="preserve"> </w:t>
      </w:r>
      <w:r w:rsidRPr="00B264A3">
        <w:t>Paul Davies and Mark Freedland, TOWARDS A FLEXIBLE LABOUR MARKET, Oxford University Press, 2007, p. 24.</w:t>
      </w:r>
    </w:p>
  </w:footnote>
  <w:footnote w:id="264">
    <w:p w14:paraId="5E1449A3" w14:textId="25B5BA51" w:rsidR="00C13AFA" w:rsidRDefault="00C13AFA">
      <w:pPr>
        <w:pStyle w:val="ad"/>
      </w:pPr>
      <w:r>
        <w:rPr>
          <w:rStyle w:val="ae"/>
        </w:rPr>
        <w:footnoteRef/>
      </w:r>
      <w:r>
        <w:t xml:space="preserve"> </w:t>
      </w:r>
      <w:r w:rsidRPr="00B264A3">
        <w:t>Paul Davies and Mark Freedland, TOWARDS A FLEXIBLE LABOUR MARKET, Oxford University Press, 2007, p. 24.</w:t>
      </w:r>
    </w:p>
  </w:footnote>
  <w:footnote w:id="265">
    <w:p w14:paraId="0A986F57" w14:textId="7EA8FC70" w:rsidR="00C13AFA" w:rsidRDefault="00C13AFA">
      <w:pPr>
        <w:pStyle w:val="ad"/>
      </w:pPr>
      <w:r>
        <w:rPr>
          <w:rStyle w:val="ae"/>
        </w:rPr>
        <w:footnoteRef/>
      </w:r>
      <w:r>
        <w:t xml:space="preserve"> </w:t>
      </w:r>
      <w:r w:rsidRPr="00B264A3">
        <w:t>Paul Davies and Mark Freedland, TOWARDS A FLEXIBLE LABOUR MARKET, Oxford University Press, 2007, p. 24.</w:t>
      </w:r>
    </w:p>
  </w:footnote>
  <w:footnote w:id="266">
    <w:p w14:paraId="21892B35" w14:textId="710EF649" w:rsidR="00C13AFA" w:rsidRDefault="00C13AFA">
      <w:pPr>
        <w:pStyle w:val="ad"/>
      </w:pPr>
      <w:r>
        <w:rPr>
          <w:rStyle w:val="ae"/>
        </w:rPr>
        <w:footnoteRef/>
      </w:r>
      <w:r>
        <w:t xml:space="preserve"> </w:t>
      </w:r>
      <w:r w:rsidRPr="00B264A3">
        <w:t>Paul Davies and Mark Freedland, TOWARDS A FLEXIBLE LABOUR MARKET, Oxford University Press, 2007, p. 25.</w:t>
      </w:r>
    </w:p>
  </w:footnote>
  <w:footnote w:id="267">
    <w:p w14:paraId="2941297E" w14:textId="2780D922" w:rsidR="00C13AFA" w:rsidRDefault="00C13AFA">
      <w:pPr>
        <w:pStyle w:val="ad"/>
      </w:pPr>
      <w:r>
        <w:rPr>
          <w:rStyle w:val="ae"/>
        </w:rPr>
        <w:footnoteRef/>
      </w:r>
      <w:r>
        <w:t xml:space="preserve"> </w:t>
      </w:r>
      <w:r w:rsidRPr="00B264A3">
        <w:t>Paul Davies and Mark Freedland, TOWARDS A FLEXIBLE LABOUR MARKET, Oxford University Press, 2007, p. 25.</w:t>
      </w:r>
    </w:p>
  </w:footnote>
  <w:footnote w:id="268">
    <w:p w14:paraId="5A4CEFAB" w14:textId="368BE688" w:rsidR="00C13AFA" w:rsidRDefault="00C13AFA">
      <w:pPr>
        <w:pStyle w:val="ad"/>
      </w:pPr>
      <w:r>
        <w:rPr>
          <w:rStyle w:val="ae"/>
        </w:rPr>
        <w:footnoteRef/>
      </w:r>
      <w:r>
        <w:t xml:space="preserve"> </w:t>
      </w:r>
      <w:r w:rsidRPr="00B264A3">
        <w:t>The full details are set out in 1992/1993 Cm 1934 Foreign and Commonwealth Office: Treaty on European Union including the Protocols and Final Act with Declarations (Maastricht, 1992).</w:t>
      </w:r>
    </w:p>
  </w:footnote>
  <w:footnote w:id="269">
    <w:p w14:paraId="69AEE876" w14:textId="74DAE295" w:rsidR="00C13AFA" w:rsidRDefault="00C13AFA">
      <w:pPr>
        <w:pStyle w:val="ad"/>
      </w:pPr>
      <w:r>
        <w:rPr>
          <w:rStyle w:val="ae"/>
        </w:rPr>
        <w:footnoteRef/>
      </w:r>
      <w:r>
        <w:t xml:space="preserve"> </w:t>
      </w:r>
      <w:r w:rsidRPr="00B264A3">
        <w:t>Paul Davies and Mark Freedland, TOWARDS A FLEXIBLE LABOUR MARKET, Oxford University Press, 2007, p. 25.</w:t>
      </w:r>
    </w:p>
  </w:footnote>
  <w:footnote w:id="270">
    <w:p w14:paraId="3616145A" w14:textId="41376D11" w:rsidR="00C13AFA" w:rsidRDefault="00C13AFA">
      <w:pPr>
        <w:pStyle w:val="ad"/>
      </w:pPr>
      <w:r>
        <w:rPr>
          <w:rStyle w:val="ae"/>
        </w:rPr>
        <w:footnoteRef/>
      </w:r>
      <w:r>
        <w:t xml:space="preserve"> </w:t>
      </w:r>
      <w:r w:rsidRPr="00B264A3">
        <w:t>See, for a full explanation and critique: Barry Fitzpatrick, ‘Community Social Law after Maastricht</w:t>
      </w:r>
      <w:proofErr w:type="gramStart"/>
      <w:r w:rsidRPr="00B264A3">
        <w:t>’(</w:t>
      </w:r>
      <w:proofErr w:type="gramEnd"/>
      <w:r w:rsidRPr="00B264A3">
        <w:t>1992) 21 ILJ 199; Catherine Barnard, EC Employment Law (Chichester: John Wiley, 1995) 2.28-2.26 (the original edition of that work providing an important contemporary account of a situation which had changed by the time of the later editions).</w:t>
      </w:r>
    </w:p>
  </w:footnote>
  <w:footnote w:id="271">
    <w:p w14:paraId="45E6B8BA" w14:textId="364BCCFF" w:rsidR="00C13AFA" w:rsidRDefault="00C13AFA">
      <w:pPr>
        <w:pStyle w:val="ad"/>
      </w:pPr>
      <w:r>
        <w:rPr>
          <w:rStyle w:val="ae"/>
        </w:rPr>
        <w:footnoteRef/>
      </w:r>
      <w:r>
        <w:t xml:space="preserve"> </w:t>
      </w:r>
      <w:r w:rsidRPr="00B264A3">
        <w:t>Paul Davies and Mark Freedland, TOWARDS A FLEXIBLE LABOUR MARKET, Oxford University Press, 2007, p. 25.</w:t>
      </w:r>
    </w:p>
  </w:footnote>
  <w:footnote w:id="272">
    <w:p w14:paraId="0A2192DD" w14:textId="389C946B" w:rsidR="00C13AFA" w:rsidRDefault="00C13AFA">
      <w:pPr>
        <w:pStyle w:val="ad"/>
      </w:pPr>
      <w:r>
        <w:rPr>
          <w:rStyle w:val="ae"/>
        </w:rPr>
        <w:footnoteRef/>
      </w:r>
      <w:r>
        <w:t xml:space="preserve"> </w:t>
      </w:r>
      <w:r w:rsidRPr="00B264A3">
        <w:t>Council Directive 96/34/EC (OJ L145/4, 19 June 1996), implementing the Framework Agreement on Parental Leave of 1995.</w:t>
      </w:r>
    </w:p>
  </w:footnote>
  <w:footnote w:id="273">
    <w:p w14:paraId="19D58FDE" w14:textId="5EF02B13" w:rsidR="00C13AFA" w:rsidRDefault="00C13AFA">
      <w:pPr>
        <w:pStyle w:val="ad"/>
      </w:pPr>
      <w:r>
        <w:rPr>
          <w:rStyle w:val="ae"/>
        </w:rPr>
        <w:footnoteRef/>
      </w:r>
      <w:r>
        <w:t xml:space="preserve"> </w:t>
      </w:r>
      <w:r w:rsidRPr="00AE17A6">
        <w:t>A useful account is provided by Gwyneth Pitt and John Fairhurst, Blackstone’s Guide to Working Time (London; Blackstone Press, 1998) at 1-8.</w:t>
      </w:r>
    </w:p>
  </w:footnote>
  <w:footnote w:id="274">
    <w:p w14:paraId="04F52507" w14:textId="316998FF" w:rsidR="00C13AFA" w:rsidRDefault="00C13AFA">
      <w:pPr>
        <w:pStyle w:val="ad"/>
      </w:pPr>
      <w:r>
        <w:rPr>
          <w:rStyle w:val="ae"/>
        </w:rPr>
        <w:footnoteRef/>
      </w:r>
      <w:r>
        <w:t xml:space="preserve"> </w:t>
      </w:r>
      <w:r w:rsidRPr="00AE17A6">
        <w:t>Paul Davies and Mark Freedland, TOWARDS A FLEXIBLE LABOUR MARKET, Oxford University Press, 2007, p. 26.</w:t>
      </w:r>
    </w:p>
  </w:footnote>
  <w:footnote w:id="275">
    <w:p w14:paraId="2E1AED27" w14:textId="24B68670" w:rsidR="00C13AFA" w:rsidRDefault="00C13AFA">
      <w:pPr>
        <w:pStyle w:val="ad"/>
      </w:pPr>
      <w:r>
        <w:rPr>
          <w:rStyle w:val="ae"/>
        </w:rPr>
        <w:footnoteRef/>
      </w:r>
      <w:r>
        <w:t xml:space="preserve"> </w:t>
      </w:r>
      <w:r w:rsidRPr="00AE17A6">
        <w:t>The Single European Act added new article 118a to the EC Treaty, which later became part of article 137 in the Treaty as re-numbered.</w:t>
      </w:r>
    </w:p>
  </w:footnote>
  <w:footnote w:id="276">
    <w:p w14:paraId="334D94D5" w14:textId="176202F9" w:rsidR="00C13AFA" w:rsidRDefault="00C13AFA">
      <w:pPr>
        <w:pStyle w:val="ad"/>
      </w:pPr>
      <w:r>
        <w:rPr>
          <w:rStyle w:val="ae"/>
        </w:rPr>
        <w:footnoteRef/>
      </w:r>
      <w:r>
        <w:t xml:space="preserve"> </w:t>
      </w:r>
      <w:r w:rsidRPr="00AE17A6">
        <w:t>Council Directive 93/104/EC (OJ 1993 L307/18) (‘Working Time Directive’).</w:t>
      </w:r>
    </w:p>
  </w:footnote>
  <w:footnote w:id="277">
    <w:p w14:paraId="3FFB9CFD" w14:textId="085E5B17" w:rsidR="00C13AFA" w:rsidRDefault="00C13AFA">
      <w:pPr>
        <w:pStyle w:val="ad"/>
      </w:pPr>
      <w:r>
        <w:rPr>
          <w:rStyle w:val="ae"/>
        </w:rPr>
        <w:footnoteRef/>
      </w:r>
      <w:r>
        <w:t xml:space="preserve"> </w:t>
      </w:r>
      <w:r w:rsidRPr="00AE17A6">
        <w:t>Council Directive 94/33/EC (OJ 1994 J216/12).</w:t>
      </w:r>
    </w:p>
  </w:footnote>
  <w:footnote w:id="278">
    <w:p w14:paraId="2E7962B6" w14:textId="30642255" w:rsidR="00C13AFA" w:rsidRDefault="00C13AFA">
      <w:pPr>
        <w:pStyle w:val="ad"/>
      </w:pPr>
      <w:r>
        <w:rPr>
          <w:rStyle w:val="ae"/>
        </w:rPr>
        <w:footnoteRef/>
      </w:r>
      <w:r>
        <w:t xml:space="preserve"> </w:t>
      </w:r>
      <w:r w:rsidRPr="00AE17A6">
        <w:t>UK v Council of the European Union (Case C-84/94) [1996] ECR I-5755.</w:t>
      </w:r>
    </w:p>
  </w:footnote>
  <w:footnote w:id="279">
    <w:p w14:paraId="2C79AE52" w14:textId="3E78D48E" w:rsidR="00C13AFA" w:rsidRDefault="00C13AFA">
      <w:pPr>
        <w:pStyle w:val="ad"/>
      </w:pPr>
      <w:r>
        <w:rPr>
          <w:rStyle w:val="ae"/>
        </w:rPr>
        <w:footnoteRef/>
      </w:r>
      <w:r>
        <w:t xml:space="preserve"> </w:t>
      </w:r>
      <w:r w:rsidRPr="00AE17A6">
        <w:t xml:space="preserve">Compare the Consultation Document on Measures to Implement Provisions of the EC Directive on the </w:t>
      </w:r>
      <w:proofErr w:type="spellStart"/>
      <w:r w:rsidRPr="00AE17A6">
        <w:t>Organisation</w:t>
      </w:r>
      <w:proofErr w:type="spellEnd"/>
      <w:r w:rsidRPr="00AE17A6">
        <w:t xml:space="preserve"> of Working Time (DTI, December 1996).</w:t>
      </w:r>
    </w:p>
  </w:footnote>
  <w:footnote w:id="280">
    <w:p w14:paraId="107F3811" w14:textId="4421A105" w:rsidR="00C13AFA" w:rsidRDefault="00C13AFA">
      <w:pPr>
        <w:pStyle w:val="ad"/>
      </w:pPr>
      <w:r>
        <w:rPr>
          <w:rStyle w:val="ae"/>
        </w:rPr>
        <w:footnoteRef/>
      </w:r>
      <w:r>
        <w:t xml:space="preserve"> </w:t>
      </w:r>
      <w:r w:rsidRPr="00AE17A6">
        <w:t>23 November 1996.</w:t>
      </w:r>
    </w:p>
  </w:footnote>
  <w:footnote w:id="281">
    <w:p w14:paraId="0C8AC9CA" w14:textId="0FE54099" w:rsidR="00C13AFA" w:rsidRDefault="00C13AFA">
      <w:pPr>
        <w:pStyle w:val="ad"/>
      </w:pPr>
      <w:r>
        <w:rPr>
          <w:rStyle w:val="ae"/>
        </w:rPr>
        <w:footnoteRef/>
      </w:r>
      <w:r>
        <w:t xml:space="preserve"> </w:t>
      </w:r>
      <w:r w:rsidRPr="00AE17A6">
        <w:t>The sequence of events is very usefully described by Pitt and Fairhurst in their Blackstone’s Guide (Gwyneth Pitt and John Fairhurst, Blackstone’s Guide to Working Time, London: Blackstone Press, 1998)</w:t>
      </w:r>
    </w:p>
  </w:footnote>
  <w:footnote w:id="282">
    <w:p w14:paraId="57CB38A9" w14:textId="236BAEFE" w:rsidR="00C13AFA" w:rsidRDefault="00C13AFA">
      <w:pPr>
        <w:pStyle w:val="ad"/>
      </w:pPr>
      <w:r>
        <w:rPr>
          <w:rStyle w:val="ae"/>
        </w:rPr>
        <w:footnoteRef/>
      </w:r>
      <w:r>
        <w:t xml:space="preserve"> </w:t>
      </w:r>
      <w:r w:rsidRPr="00AE17A6">
        <w:t>Paul Davies and Mark Freedland, TOWARDS A FLEXIBLE LABOUR MARKET, Oxford University Press, 2007, p. 27.</w:t>
      </w:r>
    </w:p>
  </w:footnote>
  <w:footnote w:id="283">
    <w:p w14:paraId="03074E91" w14:textId="3EC77627" w:rsidR="00C13AFA" w:rsidRDefault="00C13AFA">
      <w:pPr>
        <w:pStyle w:val="ad"/>
      </w:pPr>
      <w:r>
        <w:rPr>
          <w:rStyle w:val="ae"/>
        </w:rPr>
        <w:footnoteRef/>
      </w:r>
      <w:r>
        <w:t xml:space="preserve"> </w:t>
      </w:r>
      <w:r w:rsidRPr="00AE17A6">
        <w:t>Paul Davies and Mark Freedland, TOWARDS A FLEXIBLE LABOUR MARKET, Oxford University Press, 2007, p. 27.</w:t>
      </w:r>
    </w:p>
  </w:footnote>
  <w:footnote w:id="284">
    <w:p w14:paraId="7E702C2E" w14:textId="5A2D05CA" w:rsidR="00C13AFA" w:rsidRDefault="00C13AFA">
      <w:pPr>
        <w:pStyle w:val="ad"/>
      </w:pPr>
      <w:r>
        <w:rPr>
          <w:rStyle w:val="ae"/>
        </w:rPr>
        <w:footnoteRef/>
      </w:r>
      <w:r>
        <w:t xml:space="preserve"> </w:t>
      </w:r>
      <w:r w:rsidRPr="00AE17A6">
        <w:t xml:space="preserve">See </w:t>
      </w:r>
      <w:proofErr w:type="spellStart"/>
      <w:r w:rsidRPr="00AE17A6">
        <w:t>Labour</w:t>
      </w:r>
      <w:proofErr w:type="spellEnd"/>
      <w:r w:rsidRPr="00AE17A6">
        <w:t xml:space="preserve"> Legislation and Public Policy, 542-545.</w:t>
      </w:r>
    </w:p>
  </w:footnote>
  <w:footnote w:id="285">
    <w:p w14:paraId="2BDCA9A3" w14:textId="6731A385" w:rsidR="00C13AFA" w:rsidRDefault="00C13AFA">
      <w:pPr>
        <w:pStyle w:val="ad"/>
      </w:pPr>
      <w:r>
        <w:rPr>
          <w:rStyle w:val="ae"/>
        </w:rPr>
        <w:footnoteRef/>
      </w:r>
      <w:r>
        <w:t xml:space="preserve"> </w:t>
      </w:r>
      <w:r w:rsidRPr="00AE17A6">
        <w:t>Paul Davies and Mark Freedland, TOWARDS A FLEXIBLE LABOUR MARKET, Oxford University Press, 2007, p. 28.</w:t>
      </w:r>
    </w:p>
  </w:footnote>
  <w:footnote w:id="286">
    <w:p w14:paraId="4EC8685C" w14:textId="5B9A947C" w:rsidR="00C13AFA" w:rsidRDefault="00C13AFA">
      <w:pPr>
        <w:pStyle w:val="ad"/>
      </w:pPr>
      <w:r>
        <w:rPr>
          <w:rStyle w:val="ae"/>
        </w:rPr>
        <w:footnoteRef/>
      </w:r>
      <w:r>
        <w:t xml:space="preserve"> </w:t>
      </w:r>
      <w:r w:rsidRPr="00AE17A6">
        <w:t xml:space="preserve">As mentioned and detailed by Keith Ewing, </w:t>
      </w:r>
      <w:proofErr w:type="gramStart"/>
      <w:r w:rsidRPr="00AE17A6">
        <w:t>in  ‘</w:t>
      </w:r>
      <w:proofErr w:type="gramEnd"/>
      <w:r w:rsidRPr="00AE17A6">
        <w:t>Swimming with the Tide: Employment Protection and the Implementation of European Labor Law’ (1993) 22 ILJ 165.</w:t>
      </w:r>
    </w:p>
  </w:footnote>
  <w:footnote w:id="287">
    <w:p w14:paraId="36FA6153" w14:textId="35C63C3B" w:rsidR="00C13AFA" w:rsidRDefault="00C13AFA">
      <w:pPr>
        <w:pStyle w:val="ad"/>
      </w:pPr>
      <w:r>
        <w:rPr>
          <w:rStyle w:val="ae"/>
        </w:rPr>
        <w:footnoteRef/>
      </w:r>
      <w:r>
        <w:t xml:space="preserve"> </w:t>
      </w:r>
      <w:r w:rsidRPr="00AE17A6">
        <w:t>Hansard, HC (series 6) vol 214, cols 168</w:t>
      </w:r>
      <w:proofErr w:type="gramStart"/>
      <w:r w:rsidRPr="00AE17A6">
        <w:t>ff(</w:t>
      </w:r>
      <w:proofErr w:type="gramEnd"/>
      <w:r w:rsidRPr="00AE17A6">
        <w:t>17 November 1992).</w:t>
      </w:r>
    </w:p>
  </w:footnote>
  <w:footnote w:id="288">
    <w:p w14:paraId="3E9A3524" w14:textId="7580831B" w:rsidR="00C13AFA" w:rsidRDefault="00C13AFA">
      <w:pPr>
        <w:pStyle w:val="ad"/>
      </w:pPr>
      <w:r>
        <w:rPr>
          <w:rStyle w:val="ae"/>
        </w:rPr>
        <w:footnoteRef/>
      </w:r>
      <w:r>
        <w:t xml:space="preserve"> </w:t>
      </w:r>
      <w:r w:rsidRPr="00AE17A6">
        <w:t>Paul Davies and Mark Freedland, TOWARDS A FLEXIBLE LABOUR MARKET, Oxford University Press, 2007, p. 28.</w:t>
      </w:r>
    </w:p>
  </w:footnote>
  <w:footnote w:id="289">
    <w:p w14:paraId="464AEB8B" w14:textId="081E468D" w:rsidR="00C13AFA" w:rsidRDefault="00C13AFA">
      <w:pPr>
        <w:pStyle w:val="ad"/>
      </w:pPr>
      <w:r>
        <w:rPr>
          <w:rStyle w:val="ae"/>
        </w:rPr>
        <w:footnoteRef/>
      </w:r>
      <w:r>
        <w:t xml:space="preserve"> </w:t>
      </w:r>
      <w:r w:rsidRPr="00AE17A6">
        <w:t>Paul Davies and Mark Freedland, TOWARDS A FLEXIBLE LABOUR MARKET, Oxford University Press, 2007, p. 28.</w:t>
      </w:r>
    </w:p>
  </w:footnote>
  <w:footnote w:id="290">
    <w:p w14:paraId="4DB785AC" w14:textId="72584EC0" w:rsidR="00C13AFA" w:rsidRDefault="00C13AFA">
      <w:pPr>
        <w:pStyle w:val="ad"/>
      </w:pPr>
      <w:r>
        <w:rPr>
          <w:rStyle w:val="ae"/>
        </w:rPr>
        <w:footnoteRef/>
      </w:r>
      <w:r>
        <w:t xml:space="preserve"> </w:t>
      </w:r>
      <w:r w:rsidRPr="00AE17A6">
        <w:t>Council Directive 91/533/EEC (OJ 1991L288/32).</w:t>
      </w:r>
    </w:p>
  </w:footnote>
  <w:footnote w:id="291">
    <w:p w14:paraId="304FB83A" w14:textId="2E835F7F" w:rsidR="00C13AFA" w:rsidRDefault="00C13AFA">
      <w:pPr>
        <w:pStyle w:val="ad"/>
      </w:pPr>
      <w:r>
        <w:rPr>
          <w:rStyle w:val="ae"/>
        </w:rPr>
        <w:footnoteRef/>
      </w:r>
      <w:r>
        <w:t xml:space="preserve"> </w:t>
      </w:r>
      <w:r w:rsidRPr="00AE17A6">
        <w:t>TURERA 1993, ss 26-27.</w:t>
      </w:r>
    </w:p>
  </w:footnote>
  <w:footnote w:id="292">
    <w:p w14:paraId="65CB5DE7" w14:textId="40E8C99F" w:rsidR="00C13AFA" w:rsidRDefault="00C13AFA">
      <w:pPr>
        <w:pStyle w:val="ad"/>
      </w:pPr>
      <w:r>
        <w:rPr>
          <w:rStyle w:val="ae"/>
        </w:rPr>
        <w:footnoteRef/>
      </w:r>
      <w:r>
        <w:t xml:space="preserve"> </w:t>
      </w:r>
      <w:r w:rsidRPr="00AE17A6">
        <w:t>Paul Davies and Mark Freedland, TOWARDS A FLEXIBLE LABOUR MARKET, Oxford University Press, 2007, p. 28.</w:t>
      </w:r>
    </w:p>
  </w:footnote>
  <w:footnote w:id="293">
    <w:p w14:paraId="1C8E9F18" w14:textId="5D972F95" w:rsidR="00C13AFA" w:rsidRDefault="00C13AFA">
      <w:pPr>
        <w:pStyle w:val="ad"/>
      </w:pPr>
      <w:r>
        <w:rPr>
          <w:rStyle w:val="ae"/>
        </w:rPr>
        <w:footnoteRef/>
      </w:r>
      <w:r>
        <w:t xml:space="preserve"> </w:t>
      </w:r>
      <w:r w:rsidRPr="00AE17A6">
        <w:t xml:space="preserve">Much of the implementation in the UK had been </w:t>
      </w:r>
      <w:proofErr w:type="gramStart"/>
      <w:r w:rsidRPr="00AE17A6">
        <w:t>effected</w:t>
      </w:r>
      <w:proofErr w:type="gramEnd"/>
      <w:r w:rsidRPr="00AE17A6">
        <w:t xml:space="preserve"> by the Management of Health and Safety at Work Regulations 1992, SI 1992/2051.</w:t>
      </w:r>
    </w:p>
  </w:footnote>
  <w:footnote w:id="294">
    <w:p w14:paraId="0CB70A84" w14:textId="1B4F31B6" w:rsidR="00C13AFA" w:rsidRDefault="00C13AFA">
      <w:pPr>
        <w:pStyle w:val="ad"/>
      </w:pPr>
      <w:r>
        <w:rPr>
          <w:rStyle w:val="ae"/>
        </w:rPr>
        <w:footnoteRef/>
      </w:r>
      <w:r>
        <w:t xml:space="preserve"> </w:t>
      </w:r>
      <w:r w:rsidRPr="00AE17A6">
        <w:t>TURERA 1993, s 28 and Sch 5.</w:t>
      </w:r>
    </w:p>
  </w:footnote>
  <w:footnote w:id="295">
    <w:p w14:paraId="16051D48" w14:textId="6924C8AB" w:rsidR="00C13AFA" w:rsidRDefault="00C13AFA">
      <w:pPr>
        <w:pStyle w:val="ad"/>
      </w:pPr>
      <w:r>
        <w:rPr>
          <w:rStyle w:val="ae"/>
        </w:rPr>
        <w:footnoteRef/>
      </w:r>
      <w:r>
        <w:t xml:space="preserve"> </w:t>
      </w:r>
      <w:r w:rsidRPr="00AE17A6">
        <w:t>TURERA 1993, s 29.</w:t>
      </w:r>
    </w:p>
  </w:footnote>
  <w:footnote w:id="296">
    <w:p w14:paraId="46AB0FBF" w14:textId="664F9CBC" w:rsidR="00C13AFA" w:rsidRDefault="00C13AFA">
      <w:pPr>
        <w:pStyle w:val="ad"/>
      </w:pPr>
      <w:r>
        <w:rPr>
          <w:rStyle w:val="ae"/>
        </w:rPr>
        <w:footnoteRef/>
      </w:r>
      <w:r>
        <w:t xml:space="preserve"> </w:t>
      </w:r>
      <w:r w:rsidRPr="00AE17A6">
        <w:t xml:space="preserve">Compare Keith Ewing, </w:t>
      </w:r>
      <w:proofErr w:type="gramStart"/>
      <w:r w:rsidRPr="00AE17A6">
        <w:t>in  ‘</w:t>
      </w:r>
      <w:proofErr w:type="gramEnd"/>
      <w:r w:rsidRPr="00AE17A6">
        <w:t>Swimming with the Tide: Employment Protection and the Implementation of European Labor Law’ (1993) at 170-171.</w:t>
      </w:r>
    </w:p>
  </w:footnote>
  <w:footnote w:id="297">
    <w:p w14:paraId="789ACBC1" w14:textId="54767C13" w:rsidR="00C13AFA" w:rsidRDefault="00C13AFA">
      <w:pPr>
        <w:pStyle w:val="ad"/>
      </w:pPr>
      <w:r>
        <w:rPr>
          <w:rStyle w:val="ae"/>
        </w:rPr>
        <w:footnoteRef/>
      </w:r>
      <w:r>
        <w:t xml:space="preserve"> </w:t>
      </w:r>
      <w:r w:rsidRPr="00AE17A6">
        <w:t>Paul Davies and Mark Freedland, TOWARDS A FLEXIBLE LABOUR MARKET, Oxford University Press, 2007, p. 29.</w:t>
      </w:r>
    </w:p>
  </w:footnote>
  <w:footnote w:id="298">
    <w:p w14:paraId="4C73C787" w14:textId="7E233B36" w:rsidR="00C13AFA" w:rsidRDefault="00C13AFA">
      <w:pPr>
        <w:pStyle w:val="ad"/>
      </w:pPr>
      <w:r>
        <w:rPr>
          <w:rStyle w:val="ae"/>
        </w:rPr>
        <w:footnoteRef/>
      </w:r>
      <w:r>
        <w:t xml:space="preserve"> </w:t>
      </w:r>
      <w:r w:rsidRPr="00AE17A6">
        <w:t>Paul Davies and Mark Freedland, TOWARDS A FLEXIBLE LABOUR MARKET, Oxford University Press, 2007, p. 30.</w:t>
      </w:r>
    </w:p>
  </w:footnote>
  <w:footnote w:id="299">
    <w:p w14:paraId="7139FB2A" w14:textId="06D40F4A" w:rsidR="00C13AFA" w:rsidRDefault="00C13AFA">
      <w:pPr>
        <w:pStyle w:val="ad"/>
      </w:pPr>
      <w:r>
        <w:rPr>
          <w:rStyle w:val="ae"/>
        </w:rPr>
        <w:footnoteRef/>
      </w:r>
      <w:r>
        <w:t xml:space="preserve"> </w:t>
      </w:r>
      <w:r w:rsidRPr="00AE17A6">
        <w:t>Barber v Guardian Royal Exchange Assurance Group Case C-262/88 [1990] IRLR 240.</w:t>
      </w:r>
    </w:p>
  </w:footnote>
  <w:footnote w:id="300">
    <w:p w14:paraId="784CD009" w14:textId="615FD05C" w:rsidR="00C13AFA" w:rsidRDefault="00C13AFA">
      <w:pPr>
        <w:pStyle w:val="ad"/>
      </w:pPr>
      <w:r>
        <w:rPr>
          <w:rStyle w:val="ae"/>
        </w:rPr>
        <w:footnoteRef/>
      </w:r>
      <w:r>
        <w:t xml:space="preserve"> </w:t>
      </w:r>
      <w:r w:rsidRPr="00AE17A6">
        <w:t>As enacted in ECT art 119 (now art 141).</w:t>
      </w:r>
    </w:p>
  </w:footnote>
  <w:footnote w:id="301">
    <w:p w14:paraId="1707B1F3" w14:textId="4EF02CE8" w:rsidR="00C13AFA" w:rsidRDefault="00C13AFA">
      <w:pPr>
        <w:pStyle w:val="ad"/>
      </w:pPr>
      <w:r>
        <w:rPr>
          <w:rStyle w:val="ae"/>
        </w:rPr>
        <w:footnoteRef/>
      </w:r>
      <w:r>
        <w:t xml:space="preserve"> </w:t>
      </w:r>
      <w:r w:rsidRPr="00AE17A6">
        <w:t xml:space="preserve">This is a very simplified summary of a complex position of which a very useful fuller discussion is provided by S Deakin and G Morris, </w:t>
      </w:r>
      <w:proofErr w:type="spellStart"/>
      <w:r w:rsidRPr="00AE17A6">
        <w:t>Labour</w:t>
      </w:r>
      <w:proofErr w:type="spellEnd"/>
      <w:r w:rsidRPr="00AE17A6">
        <w:t xml:space="preserve"> Law (4th </w:t>
      </w:r>
      <w:proofErr w:type="spellStart"/>
      <w:r w:rsidRPr="00AE17A6">
        <w:t>edn</w:t>
      </w:r>
      <w:proofErr w:type="spellEnd"/>
      <w:r w:rsidRPr="00AE17A6">
        <w:t>, Oxford: Hart Publishing, 2005) at s 6.96.</w:t>
      </w:r>
    </w:p>
  </w:footnote>
  <w:footnote w:id="302">
    <w:p w14:paraId="4785F81E" w14:textId="7E13F935" w:rsidR="00C13AFA" w:rsidRDefault="00C13AFA">
      <w:pPr>
        <w:pStyle w:val="ad"/>
      </w:pPr>
      <w:r>
        <w:rPr>
          <w:rStyle w:val="ae"/>
        </w:rPr>
        <w:footnoteRef/>
      </w:r>
      <w:r>
        <w:t xml:space="preserve"> </w:t>
      </w:r>
      <w:r w:rsidRPr="00AE17A6">
        <w:t xml:space="preserve">Some interesting detail of, and comparative background to, these policy pressures is provided by G </w:t>
      </w:r>
      <w:proofErr w:type="spellStart"/>
      <w:r w:rsidRPr="00AE17A6">
        <w:t>Bonoli</w:t>
      </w:r>
      <w:proofErr w:type="spellEnd"/>
      <w:r w:rsidRPr="00AE17A6">
        <w:t>, The politics of Pension Reform: Institutions and Policy Change in Western Europe (Cambridge: Cambridge University Press, 2000) at 81-83.</w:t>
      </w:r>
    </w:p>
  </w:footnote>
  <w:footnote w:id="303">
    <w:p w14:paraId="2D04BF95" w14:textId="4C699C7B" w:rsidR="00C13AFA" w:rsidRDefault="00C13AFA">
      <w:pPr>
        <w:pStyle w:val="ad"/>
      </w:pPr>
      <w:r>
        <w:rPr>
          <w:rStyle w:val="ae"/>
        </w:rPr>
        <w:footnoteRef/>
      </w:r>
      <w:r>
        <w:t xml:space="preserve"> </w:t>
      </w:r>
      <w:r w:rsidRPr="00AE17A6">
        <w:t>Paul Davies and Mark Freedland, TOWARDS A FLEXIBLE LABOUR MARKET, Oxford University Press, 2007, p. 30-31.</w:t>
      </w:r>
    </w:p>
  </w:footnote>
  <w:footnote w:id="304">
    <w:p w14:paraId="15E4632D" w14:textId="16582ACB" w:rsidR="00C13AFA" w:rsidRDefault="00C13AFA">
      <w:pPr>
        <w:pStyle w:val="ad"/>
      </w:pPr>
      <w:r>
        <w:rPr>
          <w:rStyle w:val="ae"/>
        </w:rPr>
        <w:footnoteRef/>
      </w:r>
      <w:r>
        <w:t xml:space="preserve"> </w:t>
      </w:r>
      <w:r w:rsidRPr="00AE17A6">
        <w:t>Paul Davies and Mark Freedland, TOWARDS A FLEXIBLE LABOUR MARKET, Oxford University Press, 2007, p. 31.</w:t>
      </w:r>
    </w:p>
  </w:footnote>
  <w:footnote w:id="305">
    <w:p w14:paraId="0CBB7FBF" w14:textId="03B88A60" w:rsidR="00C13AFA" w:rsidRDefault="00C13AFA">
      <w:pPr>
        <w:pStyle w:val="ad"/>
      </w:pPr>
      <w:r>
        <w:rPr>
          <w:rStyle w:val="ae"/>
        </w:rPr>
        <w:footnoteRef/>
      </w:r>
      <w:r>
        <w:t xml:space="preserve"> </w:t>
      </w:r>
      <w:r w:rsidRPr="00AE17A6">
        <w:t>Paul Davies and Mark Freedland, TOWARDS A FLEXIBLE LABOUR MARKET, Oxford University Press, 2007, p. 31.</w:t>
      </w:r>
    </w:p>
  </w:footnote>
  <w:footnote w:id="306">
    <w:p w14:paraId="6353B8D3" w14:textId="498EE8CB" w:rsidR="00C13AFA" w:rsidRDefault="00C13AFA">
      <w:pPr>
        <w:pStyle w:val="ad"/>
      </w:pPr>
      <w:r>
        <w:rPr>
          <w:rStyle w:val="ae"/>
        </w:rPr>
        <w:footnoteRef/>
      </w:r>
      <w:r>
        <w:t xml:space="preserve"> </w:t>
      </w:r>
      <w:r w:rsidRPr="00AE17A6">
        <w:t>Section 136; for a full explanation see R Nobles, ‘Pensions Act 1995</w:t>
      </w:r>
      <w:proofErr w:type="gramStart"/>
      <w:r w:rsidRPr="00AE17A6">
        <w:t>’(</w:t>
      </w:r>
      <w:proofErr w:type="gramEnd"/>
      <w:r w:rsidRPr="00AE17A6">
        <w:t>1996) 59 MLR 241 at 247-249.</w:t>
      </w:r>
    </w:p>
  </w:footnote>
  <w:footnote w:id="307">
    <w:p w14:paraId="4F097DC5" w14:textId="58931C16" w:rsidR="00C13AFA" w:rsidRDefault="00C13AFA">
      <w:pPr>
        <w:pStyle w:val="ad"/>
      </w:pPr>
      <w:r>
        <w:rPr>
          <w:rStyle w:val="ae"/>
        </w:rPr>
        <w:footnoteRef/>
      </w:r>
      <w:r>
        <w:t xml:space="preserve"> </w:t>
      </w:r>
      <w:r w:rsidRPr="00AE17A6">
        <w:t>Under the provisions of section 56 of the At, see R Nobles, ‘Pensions Act 1995</w:t>
      </w:r>
      <w:proofErr w:type="gramStart"/>
      <w:r w:rsidRPr="00AE17A6">
        <w:t>’(</w:t>
      </w:r>
      <w:proofErr w:type="gramEnd"/>
      <w:r w:rsidRPr="00AE17A6">
        <w:t>1996) 59 MLR 241 at 252-254.</w:t>
      </w:r>
    </w:p>
  </w:footnote>
  <w:footnote w:id="308">
    <w:p w14:paraId="4A23C96A" w14:textId="3470BE83" w:rsidR="00C13AFA" w:rsidRDefault="00C13AFA">
      <w:pPr>
        <w:pStyle w:val="ad"/>
      </w:pPr>
      <w:r>
        <w:rPr>
          <w:rStyle w:val="ae"/>
        </w:rPr>
        <w:footnoteRef/>
      </w:r>
      <w:r>
        <w:t xml:space="preserve"> </w:t>
      </w:r>
      <w:r w:rsidRPr="00AE17A6">
        <w:t>Under the provisions of section 138 of the Act, see R Nobles, ‘Pensions Act 1995</w:t>
      </w:r>
      <w:proofErr w:type="gramStart"/>
      <w:r w:rsidRPr="00AE17A6">
        <w:t>’(</w:t>
      </w:r>
      <w:proofErr w:type="gramEnd"/>
      <w:r w:rsidRPr="00AE17A6">
        <w:t>1996) 59 MLR 241 at 249-250</w:t>
      </w:r>
    </w:p>
  </w:footnote>
  <w:footnote w:id="309">
    <w:p w14:paraId="3501E6F4" w14:textId="49F3C548" w:rsidR="00C13AFA" w:rsidRDefault="00C13AFA">
      <w:pPr>
        <w:pStyle w:val="ad"/>
      </w:pPr>
      <w:r>
        <w:rPr>
          <w:rStyle w:val="ae"/>
        </w:rPr>
        <w:footnoteRef/>
      </w:r>
      <w:r>
        <w:t xml:space="preserve"> </w:t>
      </w:r>
      <w:r w:rsidRPr="00AE17A6">
        <w:t>R Nobles, ‘Pensions Act 1995</w:t>
      </w:r>
      <w:proofErr w:type="gramStart"/>
      <w:r w:rsidRPr="00AE17A6">
        <w:t>’(</w:t>
      </w:r>
      <w:proofErr w:type="gramEnd"/>
      <w:r w:rsidRPr="00AE17A6">
        <w:t>1996) 59 MLR 241 at 259-260.</w:t>
      </w:r>
    </w:p>
  </w:footnote>
  <w:footnote w:id="310">
    <w:p w14:paraId="10A034AB" w14:textId="15CC73B4" w:rsidR="00C13AFA" w:rsidRDefault="00C13AFA">
      <w:pPr>
        <w:pStyle w:val="ad"/>
      </w:pPr>
      <w:r>
        <w:rPr>
          <w:rStyle w:val="ae"/>
        </w:rPr>
        <w:footnoteRef/>
      </w:r>
      <w:r>
        <w:t xml:space="preserve"> </w:t>
      </w:r>
      <w:r w:rsidRPr="00E3419D">
        <w:t>Paul Davies and Mark Freedland, TOWARDS A FLEXIBLE LABOUR MARKET, Oxford University Press, 2007, p. 32.</w:t>
      </w:r>
    </w:p>
  </w:footnote>
  <w:footnote w:id="311">
    <w:p w14:paraId="0A4B738A" w14:textId="5F374F21" w:rsidR="00C13AFA" w:rsidRDefault="00C13AFA">
      <w:pPr>
        <w:pStyle w:val="ad"/>
      </w:pPr>
      <w:r>
        <w:rPr>
          <w:rStyle w:val="ae"/>
        </w:rPr>
        <w:footnoteRef/>
      </w:r>
      <w:r>
        <w:t xml:space="preserve"> </w:t>
      </w:r>
      <w:r w:rsidRPr="00590358">
        <w:t>Paul Davies and Mark Freedland, TOWARDS A FLEXIBLE LABOUR MARKET, Oxford University Press, 2007, p. 32.</w:t>
      </w:r>
    </w:p>
  </w:footnote>
  <w:footnote w:id="312">
    <w:p w14:paraId="46E70824" w14:textId="2453C108" w:rsidR="00C13AFA" w:rsidRDefault="00C13AFA">
      <w:pPr>
        <w:pStyle w:val="ad"/>
      </w:pPr>
      <w:r>
        <w:rPr>
          <w:rStyle w:val="ae"/>
        </w:rPr>
        <w:footnoteRef/>
      </w:r>
      <w:r>
        <w:t xml:space="preserve"> </w:t>
      </w:r>
      <w:r w:rsidRPr="00590358">
        <w:t>Very useful historical details, upon which this passage draws, is provided by G Thomas’s Annotations to the Disability Discrimination Act 1995, Current Law Statues 1995/50 especially at 50-3-50-5.</w:t>
      </w:r>
    </w:p>
  </w:footnote>
  <w:footnote w:id="313">
    <w:p w14:paraId="2205AD0B" w14:textId="65923793" w:rsidR="00C13AFA" w:rsidRDefault="00C13AFA">
      <w:pPr>
        <w:pStyle w:val="ad"/>
      </w:pPr>
      <w:r>
        <w:rPr>
          <w:rStyle w:val="ae"/>
        </w:rPr>
        <w:footnoteRef/>
      </w:r>
      <w:r>
        <w:t xml:space="preserve"> </w:t>
      </w:r>
      <w:r w:rsidRPr="00590358">
        <w:t>Sections 4-5 of the 1995 Act.</w:t>
      </w:r>
    </w:p>
  </w:footnote>
  <w:footnote w:id="314">
    <w:p w14:paraId="3A973E46" w14:textId="2CBF3861" w:rsidR="00C13AFA" w:rsidRDefault="00C13AFA">
      <w:pPr>
        <w:pStyle w:val="ad"/>
      </w:pPr>
      <w:r>
        <w:rPr>
          <w:rStyle w:val="ae"/>
        </w:rPr>
        <w:footnoteRef/>
      </w:r>
      <w:r>
        <w:t xml:space="preserve"> </w:t>
      </w:r>
      <w:r w:rsidRPr="00590358">
        <w:t>Section 6 of the 1995 Act. This provision is linked to those of sections 4-5; as B Doyle neatly put it, ‘Section 6 is the keystone to the employment provision in the DDA. It attempts to create a virtuous circle. An employer discriminates if it unjustifiably fails to comply with the duty to make reasonable adjustments (s 5(2)). Such a failure can only be justified for a reason which is material and substantial (s 5(4)).’ B Doyle, ‘Disabled Workers’ Rights, the Disability Discrimination Act and the UN Standard Rules’ (1996) 25 ILJ 1 at 8.</w:t>
      </w:r>
    </w:p>
  </w:footnote>
  <w:footnote w:id="315">
    <w:p w14:paraId="01036938" w14:textId="54CC25C5" w:rsidR="00C13AFA" w:rsidRDefault="00C13AFA">
      <w:pPr>
        <w:pStyle w:val="ad"/>
      </w:pPr>
      <w:r>
        <w:rPr>
          <w:rStyle w:val="ae"/>
        </w:rPr>
        <w:footnoteRef/>
      </w:r>
      <w:r>
        <w:t xml:space="preserve"> </w:t>
      </w:r>
      <w:r w:rsidRPr="00590358">
        <w:t xml:space="preserve">S Deakin and G Morris, in </w:t>
      </w:r>
      <w:proofErr w:type="spellStart"/>
      <w:r w:rsidRPr="00590358">
        <w:t>Labour</w:t>
      </w:r>
      <w:proofErr w:type="spellEnd"/>
      <w:r w:rsidRPr="00590358">
        <w:t xml:space="preserve"> Law (4th </w:t>
      </w:r>
      <w:proofErr w:type="spellStart"/>
      <w:r w:rsidRPr="00590358">
        <w:t>edn</w:t>
      </w:r>
      <w:proofErr w:type="spellEnd"/>
      <w:r w:rsidRPr="00590358">
        <w:t xml:space="preserve">, Oxford: Hart Publishing 2005) at 714, go so far as to credit the 1995 Act with providing inspiration for the incorporation of a prohibition upon disability discrimination into the EC Framework Directive on Discrimination in Employment 2000/78/EC, </w:t>
      </w:r>
      <w:proofErr w:type="spellStart"/>
      <w:r w:rsidRPr="00590358">
        <w:t>ch</w:t>
      </w:r>
      <w:proofErr w:type="spellEnd"/>
      <w:r w:rsidRPr="00590358">
        <w:t xml:space="preserve"> 4.</w:t>
      </w:r>
    </w:p>
  </w:footnote>
  <w:footnote w:id="316">
    <w:p w14:paraId="07C847F2" w14:textId="0EDFCA82" w:rsidR="00C13AFA" w:rsidRDefault="00C13AFA">
      <w:pPr>
        <w:pStyle w:val="ad"/>
      </w:pPr>
      <w:r>
        <w:rPr>
          <w:rStyle w:val="ae"/>
        </w:rPr>
        <w:footnoteRef/>
      </w:r>
      <w:r>
        <w:t xml:space="preserve"> </w:t>
      </w:r>
      <w:r w:rsidRPr="00590358">
        <w:t>This contrast is explained by B Doyle, ‘Disabled Workers’ Rights, the Disability Discrimination Act and the UN Standard Rules’ (1996) 25 ILJ 1 at 11-12.</w:t>
      </w:r>
    </w:p>
  </w:footnote>
  <w:footnote w:id="317">
    <w:p w14:paraId="31BC1658" w14:textId="6EBFE336" w:rsidR="00C13AFA" w:rsidRDefault="00C13AFA">
      <w:pPr>
        <w:pStyle w:val="ad"/>
      </w:pPr>
      <w:r>
        <w:rPr>
          <w:rStyle w:val="ae"/>
        </w:rPr>
        <w:footnoteRef/>
      </w:r>
      <w:r>
        <w:t xml:space="preserve"> </w:t>
      </w:r>
      <w:r w:rsidRPr="00590358">
        <w:t>Section 64(5)-(8) of the 1995 Act.</w:t>
      </w:r>
    </w:p>
  </w:footnote>
  <w:footnote w:id="318">
    <w:p w14:paraId="4BFEA556" w14:textId="73DC84AC" w:rsidR="00C13AFA" w:rsidRDefault="00C13AFA">
      <w:pPr>
        <w:pStyle w:val="ad"/>
      </w:pPr>
      <w:r>
        <w:rPr>
          <w:rStyle w:val="ae"/>
        </w:rPr>
        <w:footnoteRef/>
      </w:r>
      <w:r>
        <w:t xml:space="preserve"> </w:t>
      </w:r>
      <w:r w:rsidRPr="00590358">
        <w:t>Section 7 of the 1995 Act. This exclusion was reduced from twenty to fifteen, then entirely repealed from October 2004 by SI 2003/1673 in compliance with Directive 2000/78/EC.</w:t>
      </w:r>
    </w:p>
  </w:footnote>
  <w:footnote w:id="319">
    <w:p w14:paraId="4992D2BB" w14:textId="16B7EEBD" w:rsidR="00C13AFA" w:rsidRDefault="00C13AFA">
      <w:pPr>
        <w:pStyle w:val="ad"/>
      </w:pPr>
      <w:r>
        <w:rPr>
          <w:rStyle w:val="ae"/>
        </w:rPr>
        <w:footnoteRef/>
      </w:r>
      <w:r>
        <w:t xml:space="preserve"> </w:t>
      </w:r>
      <w:r w:rsidRPr="00590358">
        <w:t>Section 64(5)-(8) of the 1995 Act.</w:t>
      </w:r>
    </w:p>
  </w:footnote>
  <w:footnote w:id="320">
    <w:p w14:paraId="6907E93D" w14:textId="7843E9BA" w:rsidR="00C13AFA" w:rsidRDefault="00C13AFA">
      <w:pPr>
        <w:pStyle w:val="ad"/>
      </w:pPr>
      <w:r>
        <w:rPr>
          <w:rStyle w:val="ae"/>
        </w:rPr>
        <w:footnoteRef/>
      </w:r>
      <w:r>
        <w:t xml:space="preserve"> </w:t>
      </w:r>
      <w:r w:rsidRPr="00590358">
        <w:t>This contrast is explained by B Doyle, ‘Disabled Workers’ Rights, the Disability Discrimination Act and the UN Standard Rules’ (1996) 25 ILJ 1 at 13-14.</w:t>
      </w:r>
    </w:p>
  </w:footnote>
  <w:footnote w:id="321">
    <w:p w14:paraId="449FECD4" w14:textId="0479B12A" w:rsidR="00C13AFA" w:rsidRDefault="00C13AFA">
      <w:pPr>
        <w:pStyle w:val="ad"/>
      </w:pPr>
      <w:r>
        <w:rPr>
          <w:rStyle w:val="ae"/>
        </w:rPr>
        <w:footnoteRef/>
      </w:r>
      <w:r>
        <w:t xml:space="preserve"> </w:t>
      </w:r>
      <w:r w:rsidRPr="00590358">
        <w:t>Paul Davies and Mark Freedland, TOWARDS A FLEXIBLE LABOUR MARKET, Oxford University Press, 2007, p. 34.</w:t>
      </w:r>
    </w:p>
  </w:footnote>
  <w:footnote w:id="322">
    <w:p w14:paraId="3A74D9F7" w14:textId="0FB0A14B" w:rsidR="00C13AFA" w:rsidRDefault="00C13AFA">
      <w:pPr>
        <w:pStyle w:val="ad"/>
      </w:pPr>
      <w:r>
        <w:rPr>
          <w:rStyle w:val="ae"/>
        </w:rPr>
        <w:footnoteRef/>
      </w:r>
      <w:r>
        <w:t xml:space="preserve"> </w:t>
      </w:r>
      <w:r w:rsidRPr="00590358">
        <w:t>Paul Davies and Mark Freedland, TOWARDS A FLEXIBLE LABOUR MARKET, Oxford University Press, 2007, p. 34.</w:t>
      </w:r>
    </w:p>
  </w:footnote>
  <w:footnote w:id="323">
    <w:p w14:paraId="4D99A53F" w14:textId="35B1C145" w:rsidR="00C13AFA" w:rsidRDefault="00C13AFA">
      <w:pPr>
        <w:pStyle w:val="ad"/>
      </w:pPr>
      <w:r>
        <w:rPr>
          <w:rStyle w:val="ae"/>
        </w:rPr>
        <w:footnoteRef/>
      </w:r>
      <w:r>
        <w:t xml:space="preserve"> </w:t>
      </w:r>
      <w:r w:rsidRPr="00590358">
        <w:t>The Employment Protection (Part-time Employees) Regulations 1995, SI 1995/31.</w:t>
      </w:r>
    </w:p>
  </w:footnote>
  <w:footnote w:id="324">
    <w:p w14:paraId="3233C4D4" w14:textId="6694CE97" w:rsidR="00C13AFA" w:rsidRDefault="00C13AFA">
      <w:pPr>
        <w:pStyle w:val="ad"/>
      </w:pPr>
      <w:r>
        <w:rPr>
          <w:rStyle w:val="ae"/>
        </w:rPr>
        <w:footnoteRef/>
      </w:r>
      <w:r>
        <w:t xml:space="preserve"> </w:t>
      </w:r>
      <w:r w:rsidRPr="00590358">
        <w:t>Paul Davies and Mark Freedland, TOWARDS A FLEXIBLE LABOUR MARKET, Oxford University Press, 2007, p. 34.</w:t>
      </w:r>
    </w:p>
  </w:footnote>
  <w:footnote w:id="325">
    <w:p w14:paraId="1B7C836D" w14:textId="3684570F" w:rsidR="00C13AFA" w:rsidRDefault="00C13AFA">
      <w:pPr>
        <w:pStyle w:val="ad"/>
      </w:pPr>
      <w:r>
        <w:rPr>
          <w:rStyle w:val="ae"/>
        </w:rPr>
        <w:footnoteRef/>
      </w:r>
      <w:r>
        <w:t xml:space="preserve"> </w:t>
      </w:r>
      <w:r w:rsidRPr="00590358">
        <w:t>Paul Davies and Mark Freedland, TOWARDS A FLEXIBLE LABOUR MARKET, Oxford University Press, 2007, p. 34.</w:t>
      </w:r>
    </w:p>
  </w:footnote>
  <w:footnote w:id="326">
    <w:p w14:paraId="44108C21" w14:textId="070F74FA" w:rsidR="00C13AFA" w:rsidRDefault="00C13AFA">
      <w:pPr>
        <w:pStyle w:val="ad"/>
      </w:pPr>
      <w:r>
        <w:rPr>
          <w:rStyle w:val="ae"/>
        </w:rPr>
        <w:footnoteRef/>
      </w:r>
      <w:r>
        <w:t xml:space="preserve"> </w:t>
      </w:r>
      <w:r w:rsidRPr="00590358">
        <w:t>76/2007/EC (since amended and re-cast as the Equal Opportunities and Equal Treatment Directive 2006/54/EC (OJ 2006 L204/23, 26 July 2006)).</w:t>
      </w:r>
    </w:p>
  </w:footnote>
  <w:footnote w:id="327">
    <w:p w14:paraId="06407094" w14:textId="3D6174BF" w:rsidR="00C13AFA" w:rsidRDefault="00C13AFA">
      <w:pPr>
        <w:pStyle w:val="ad"/>
      </w:pPr>
      <w:r>
        <w:rPr>
          <w:rStyle w:val="ae"/>
        </w:rPr>
        <w:footnoteRef/>
      </w:r>
      <w:r>
        <w:t xml:space="preserve"> </w:t>
      </w:r>
      <w:r w:rsidRPr="00590358">
        <w:t>Paul Davies and Mark Freedland, TOWARDS A FLEXIBLE LABOUR MARKET, Oxford University Press, 2007, p. 35.</w:t>
      </w:r>
    </w:p>
  </w:footnote>
  <w:footnote w:id="328">
    <w:p w14:paraId="167F0DEB" w14:textId="31C62C03" w:rsidR="00C13AFA" w:rsidRDefault="00C13AFA">
      <w:pPr>
        <w:pStyle w:val="ad"/>
      </w:pPr>
      <w:r>
        <w:rPr>
          <w:rStyle w:val="ae"/>
        </w:rPr>
        <w:footnoteRef/>
      </w:r>
      <w:r>
        <w:t xml:space="preserve"> </w:t>
      </w:r>
      <w:r w:rsidRPr="00590358">
        <w:t>Paul Davies and Mark Freedland, TOWARDS A FLEXIBLE LABOUR MARKET, Oxford University Press, 2007, p. 35.</w:t>
      </w:r>
    </w:p>
  </w:footnote>
  <w:footnote w:id="329">
    <w:p w14:paraId="2F98D618" w14:textId="553C206D" w:rsidR="00C13AFA" w:rsidRDefault="00C13AFA">
      <w:pPr>
        <w:pStyle w:val="ad"/>
      </w:pPr>
      <w:r>
        <w:rPr>
          <w:rStyle w:val="ae"/>
        </w:rPr>
        <w:footnoteRef/>
      </w:r>
      <w:r>
        <w:t xml:space="preserve"> </w:t>
      </w:r>
      <w:r w:rsidRPr="00590358">
        <w:t xml:space="preserve">Compare A </w:t>
      </w:r>
      <w:proofErr w:type="spellStart"/>
      <w:r w:rsidRPr="00590358">
        <w:t>McColgan</w:t>
      </w:r>
      <w:proofErr w:type="spellEnd"/>
      <w:r w:rsidRPr="00590358">
        <w:t xml:space="preserve">, ‘The Employment </w:t>
      </w:r>
      <w:proofErr w:type="spellStart"/>
      <w:r w:rsidRPr="00590358">
        <w:t>Protetion</w:t>
      </w:r>
      <w:proofErr w:type="spellEnd"/>
      <w:r w:rsidRPr="00590358">
        <w:t xml:space="preserve"> (Part-time Employees) Regulations 1995 SI 1995 No. 31’ (1996) 25 ILJ 43; C Kilpatrick and M R Freedland, ‘The United Kingdom: How is EU Governance Transformative?’ in S </w:t>
      </w:r>
      <w:proofErr w:type="spellStart"/>
      <w:r w:rsidRPr="00590358">
        <w:t>Sciarra</w:t>
      </w:r>
      <w:proofErr w:type="spellEnd"/>
      <w:r w:rsidRPr="00590358">
        <w:t>, P L Davies, and M R Freedland (eds), Employment Policy and the Regulation of Part-time Work in the European Union (Cambridge: Cambridge University Press, 2004) at 315-316.</w:t>
      </w:r>
    </w:p>
  </w:footnote>
  <w:footnote w:id="330">
    <w:p w14:paraId="5559CF07" w14:textId="51E4A0C2" w:rsidR="00C13AFA" w:rsidRDefault="00C13AFA">
      <w:pPr>
        <w:pStyle w:val="ad"/>
      </w:pPr>
      <w:r>
        <w:rPr>
          <w:rStyle w:val="ae"/>
        </w:rPr>
        <w:footnoteRef/>
      </w:r>
      <w:r>
        <w:t xml:space="preserve"> </w:t>
      </w:r>
      <w:r w:rsidRPr="00590358">
        <w:t>Paul Davies and Mark Freedland, TOWARDS A FLEXIBLE LABOUR MARKET, Oxford University Press, 2007, p. 35.</w:t>
      </w:r>
    </w:p>
  </w:footnote>
  <w:footnote w:id="331">
    <w:p w14:paraId="5D80E84F" w14:textId="3EC2C9D4" w:rsidR="00C13AFA" w:rsidRDefault="00C13AFA">
      <w:pPr>
        <w:pStyle w:val="ad"/>
      </w:pPr>
      <w:r>
        <w:rPr>
          <w:rStyle w:val="ae"/>
        </w:rPr>
        <w:footnoteRef/>
      </w:r>
      <w:r>
        <w:t xml:space="preserve"> </w:t>
      </w:r>
      <w:r w:rsidRPr="00590358">
        <w:t>Useful detail of the unusual process of enactment is provided by G Thomas, ‘Annotations to Trade Union Reform and Employment Rights Act 1993’ [1993] Current Law Statutes 19 at 19-31.</w:t>
      </w:r>
    </w:p>
  </w:footnote>
  <w:footnote w:id="332">
    <w:p w14:paraId="2C80A2D0" w14:textId="3E97EC0C" w:rsidR="00C13AFA" w:rsidRDefault="00C13AFA">
      <w:pPr>
        <w:pStyle w:val="ad"/>
      </w:pPr>
      <w:r>
        <w:rPr>
          <w:rStyle w:val="ae"/>
        </w:rPr>
        <w:footnoteRef/>
      </w:r>
      <w:r>
        <w:t xml:space="preserve"> </w:t>
      </w:r>
      <w:r w:rsidRPr="00590358">
        <w:t>By their later overturned decision in Associated Newspapers Ltd v Wilson: Associated British Ports v Palmer [1994] ICR 97.</w:t>
      </w:r>
    </w:p>
  </w:footnote>
  <w:footnote w:id="333">
    <w:p w14:paraId="1EA3E415" w14:textId="1FDE163B" w:rsidR="00C13AFA" w:rsidRDefault="00C13AFA">
      <w:pPr>
        <w:pStyle w:val="ad"/>
      </w:pPr>
      <w:r>
        <w:rPr>
          <w:rStyle w:val="ae"/>
        </w:rPr>
        <w:footnoteRef/>
      </w:r>
      <w:r>
        <w:t xml:space="preserve"> </w:t>
      </w:r>
      <w:r w:rsidRPr="00590358">
        <w:t>Paul Davies and Mark Freedland, TOWARDS A FLEXIBLE LABOUR MARKET, Oxford University Press, 2007, p. 36.</w:t>
      </w:r>
    </w:p>
  </w:footnote>
  <w:footnote w:id="334">
    <w:p w14:paraId="434B169D" w14:textId="29FB8A82" w:rsidR="00C13AFA" w:rsidRDefault="00C13AFA">
      <w:pPr>
        <w:pStyle w:val="ad"/>
      </w:pPr>
      <w:r>
        <w:rPr>
          <w:rStyle w:val="ae"/>
        </w:rPr>
        <w:footnoteRef/>
      </w:r>
      <w:r>
        <w:t xml:space="preserve"> </w:t>
      </w:r>
      <w:r w:rsidRPr="00590358">
        <w:t>Paul Davies and Mark Freedland, TOWARDS A FLEXIBLE LABOUR MARKET, Oxford University Press, 2007, p. 36.</w:t>
      </w:r>
    </w:p>
  </w:footnote>
  <w:footnote w:id="335">
    <w:p w14:paraId="48B40164" w14:textId="11F1B1F3" w:rsidR="00C13AFA" w:rsidRDefault="00C13AFA">
      <w:pPr>
        <w:pStyle w:val="ad"/>
      </w:pPr>
      <w:r>
        <w:rPr>
          <w:rStyle w:val="ae"/>
        </w:rPr>
        <w:footnoteRef/>
      </w:r>
      <w:r>
        <w:t xml:space="preserve"> </w:t>
      </w:r>
      <w:r w:rsidRPr="00590358">
        <w:t xml:space="preserve">In January 1994 the Deregulation Unit of the DTI (which </w:t>
      </w:r>
      <w:proofErr w:type="spellStart"/>
      <w:r w:rsidRPr="00590358">
        <w:t>Mr</w:t>
      </w:r>
      <w:proofErr w:type="spellEnd"/>
      <w:r w:rsidRPr="00590358">
        <w:t xml:space="preserve"> Michael Heseltine was the Secretary of State) issued a policy document under the title Deregulation: Cutting Red Tape, and a more general set of Proposals for Reform was issued by the seven Deregulation Task Forces.</w:t>
      </w:r>
    </w:p>
  </w:footnote>
  <w:footnote w:id="336">
    <w:p w14:paraId="35E5F3C8" w14:textId="509D3C0B" w:rsidR="00C13AFA" w:rsidRDefault="00C13AFA">
      <w:pPr>
        <w:pStyle w:val="ad"/>
      </w:pPr>
      <w:r>
        <w:rPr>
          <w:rStyle w:val="ae"/>
        </w:rPr>
        <w:footnoteRef/>
      </w:r>
      <w:r>
        <w:t xml:space="preserve"> </w:t>
      </w:r>
      <w:r w:rsidRPr="00590358">
        <w:t>The House of Lords Select Committee on the Scrutiny of Delegated Powers defined a Henry Ⅷ clause as, ‘a provision in a bill which enables primary legislation to be amended or repealed by subordinate legislation with or without further Parliamentary scrutiny’ (HLP 57 1992/93). The clauses were so named from the Statute of Proclamations 1539, which gave Henry Ⅷ power to legislate by proclamation.</w:t>
      </w:r>
    </w:p>
  </w:footnote>
  <w:footnote w:id="337">
    <w:p w14:paraId="472BE638" w14:textId="68799791" w:rsidR="00C13AFA" w:rsidRDefault="00C13AFA">
      <w:pPr>
        <w:pStyle w:val="ad"/>
      </w:pPr>
      <w:r>
        <w:rPr>
          <w:rStyle w:val="ae"/>
        </w:rPr>
        <w:footnoteRef/>
      </w:r>
      <w:r>
        <w:t xml:space="preserve"> </w:t>
      </w:r>
      <w:r w:rsidRPr="00590358">
        <w:t>The Deregulation (Employment in Bars) Orders 1997 (SI 1997/957) permitted people aged under 18 on approved apprenticeship schemes to serve in bars.</w:t>
      </w:r>
    </w:p>
  </w:footnote>
  <w:footnote w:id="338">
    <w:p w14:paraId="6C9BC4FD" w14:textId="18012B6E" w:rsidR="00C13AFA" w:rsidRDefault="00C13AFA">
      <w:pPr>
        <w:pStyle w:val="ad"/>
      </w:pPr>
      <w:r>
        <w:rPr>
          <w:rStyle w:val="ae"/>
        </w:rPr>
        <w:footnoteRef/>
      </w:r>
      <w:r>
        <w:t xml:space="preserve"> </w:t>
      </w:r>
      <w:r w:rsidRPr="00ED61D0">
        <w:t>Section 37 of the Act, the subject of a very critical note by K Williams, ‘Deregulating Occupational Health and Safety’ (1995) 24 ILJ 133.</w:t>
      </w:r>
    </w:p>
  </w:footnote>
  <w:footnote w:id="339">
    <w:p w14:paraId="47C1BDF8" w14:textId="490CD2A9" w:rsidR="00C13AFA" w:rsidRDefault="00C13AFA">
      <w:pPr>
        <w:pStyle w:val="ad"/>
      </w:pPr>
      <w:r>
        <w:rPr>
          <w:rStyle w:val="ae"/>
        </w:rPr>
        <w:footnoteRef/>
      </w:r>
      <w:r>
        <w:t xml:space="preserve"> </w:t>
      </w:r>
      <w:r w:rsidRPr="00ED61D0">
        <w:t>Section 36- significantly, this removed the right to complain of selection for dismissal as unfair on the ground of contravention of ‘customary arrangement or agreed procedure’-which referred in practice to collectively bargained arrangements or procedures.</w:t>
      </w:r>
    </w:p>
  </w:footnote>
  <w:footnote w:id="340">
    <w:p w14:paraId="7823FB95" w14:textId="738B7CE2" w:rsidR="00C13AFA" w:rsidRDefault="00C13AFA">
      <w:pPr>
        <w:pStyle w:val="ad"/>
      </w:pPr>
      <w:r>
        <w:rPr>
          <w:rStyle w:val="ae"/>
        </w:rPr>
        <w:footnoteRef/>
      </w:r>
      <w:r>
        <w:t xml:space="preserve"> </w:t>
      </w:r>
      <w:r w:rsidRPr="00ED61D0">
        <w:t>Section 35 of the Employment Agencies Act 1973.</w:t>
      </w:r>
    </w:p>
  </w:footnote>
  <w:footnote w:id="341">
    <w:p w14:paraId="559866A7" w14:textId="6C827466" w:rsidR="00C13AFA" w:rsidRDefault="00C13AFA">
      <w:pPr>
        <w:pStyle w:val="ad"/>
      </w:pPr>
      <w:r>
        <w:rPr>
          <w:rStyle w:val="ae"/>
        </w:rPr>
        <w:footnoteRef/>
      </w:r>
      <w:r>
        <w:t xml:space="preserve"> </w:t>
      </w:r>
      <w:r w:rsidRPr="00ED61D0">
        <w:t>Paul Davies and Mark Freedland, TOWARDS A FLEXIBLE LABOUR MARKET, Oxford University Press, 2007, p. 37.</w:t>
      </w:r>
    </w:p>
  </w:footnote>
  <w:footnote w:id="342">
    <w:p w14:paraId="6F28FAC8" w14:textId="3E1B7041" w:rsidR="00C13AFA" w:rsidRDefault="00C13AFA">
      <w:pPr>
        <w:pStyle w:val="ad"/>
      </w:pPr>
      <w:r>
        <w:rPr>
          <w:rStyle w:val="ae"/>
        </w:rPr>
        <w:footnoteRef/>
      </w:r>
      <w:r>
        <w:t xml:space="preserve"> </w:t>
      </w:r>
      <w:r w:rsidRPr="00ED61D0">
        <w:t>The technicalities of public law which were involved are the subject of a note by M R Freedland, ‘</w:t>
      </w:r>
      <w:proofErr w:type="spellStart"/>
      <w:r w:rsidRPr="00ED61D0">
        <w:t>Privatising</w:t>
      </w:r>
      <w:proofErr w:type="spellEnd"/>
      <w:r w:rsidRPr="00ED61D0">
        <w:t xml:space="preserve"> </w:t>
      </w:r>
      <w:proofErr w:type="spellStart"/>
      <w:r w:rsidRPr="00ED61D0">
        <w:t>Carltona</w:t>
      </w:r>
      <w:proofErr w:type="spellEnd"/>
      <w:r w:rsidRPr="00ED61D0">
        <w:t xml:space="preserve">: </w:t>
      </w:r>
      <w:proofErr w:type="spellStart"/>
      <w:r w:rsidRPr="00ED61D0">
        <w:t>PartⅡ</w:t>
      </w:r>
      <w:proofErr w:type="spellEnd"/>
      <w:r w:rsidRPr="00ED61D0">
        <w:t xml:space="preserve"> of the Deregulation and Contracting Out Act 1994’ [1995] Public Law 21.</w:t>
      </w:r>
    </w:p>
  </w:footnote>
  <w:footnote w:id="343">
    <w:p w14:paraId="37240D48" w14:textId="48355E5A" w:rsidR="00C13AFA" w:rsidRDefault="00C13AFA">
      <w:pPr>
        <w:pStyle w:val="ad"/>
      </w:pPr>
      <w:r>
        <w:rPr>
          <w:rStyle w:val="ae"/>
        </w:rPr>
        <w:footnoteRef/>
      </w:r>
      <w:r>
        <w:t xml:space="preserve"> </w:t>
      </w:r>
      <w:r w:rsidRPr="00ED61D0">
        <w:t>Paul Davies and Mark Freedland, TOWARDS A FLEXIBLE LABOUR MARKET, Oxford University Press, 2007, p. 38.</w:t>
      </w:r>
    </w:p>
  </w:footnote>
  <w:footnote w:id="344">
    <w:p w14:paraId="17CD1D44" w14:textId="1DBDA7DE" w:rsidR="00C13AFA" w:rsidRDefault="00C13AFA">
      <w:pPr>
        <w:pStyle w:val="ad"/>
      </w:pPr>
      <w:r>
        <w:rPr>
          <w:rStyle w:val="ae"/>
        </w:rPr>
        <w:footnoteRef/>
      </w:r>
      <w:r>
        <w:t xml:space="preserve"> </w:t>
      </w:r>
      <w:r w:rsidRPr="00ED61D0">
        <w:t>Paul Davies and Mark Freedland, TOWARDS A FLEXIBLE LABOUR MARKET, Oxford University Press, 2007, p. 38.</w:t>
      </w:r>
    </w:p>
  </w:footnote>
  <w:footnote w:id="345">
    <w:p w14:paraId="5A20100B" w14:textId="474693B1" w:rsidR="00C13AFA" w:rsidRDefault="00C13AFA">
      <w:pPr>
        <w:pStyle w:val="ad"/>
      </w:pPr>
      <w:r>
        <w:rPr>
          <w:rStyle w:val="ae"/>
        </w:rPr>
        <w:footnoteRef/>
      </w:r>
      <w:r>
        <w:t xml:space="preserve"> </w:t>
      </w:r>
      <w:r w:rsidRPr="00ED61D0">
        <w:t>Paul Davies and Mark Freedland, TOWARDS A FLEXIBLE LABOUR MARKET, Oxford University Press, 2007, p. 38.</w:t>
      </w:r>
    </w:p>
  </w:footnote>
  <w:footnote w:id="346">
    <w:p w14:paraId="40E3C57C" w14:textId="64C74A3D" w:rsidR="00C13AFA" w:rsidRDefault="00C13AFA">
      <w:pPr>
        <w:pStyle w:val="ad"/>
      </w:pPr>
      <w:r>
        <w:rPr>
          <w:rStyle w:val="ae"/>
        </w:rPr>
        <w:footnoteRef/>
      </w:r>
      <w:r>
        <w:t xml:space="preserve"> </w:t>
      </w:r>
      <w:r w:rsidRPr="00ED61D0">
        <w:t>Paul Davies and Mark Freedland, TOWARDS A FLEXIBLE LABOUR MARKET, Oxford University Press, 2007, p. 38.</w:t>
      </w:r>
    </w:p>
  </w:footnote>
  <w:footnote w:id="347">
    <w:p w14:paraId="7780B98C" w14:textId="7AD69D7A" w:rsidR="00C13AFA" w:rsidRDefault="00C13AFA">
      <w:pPr>
        <w:pStyle w:val="ad"/>
      </w:pPr>
      <w:r>
        <w:rPr>
          <w:rStyle w:val="ae"/>
        </w:rPr>
        <w:footnoteRef/>
      </w:r>
      <w:r>
        <w:t xml:space="preserve"> </w:t>
      </w:r>
      <w:r w:rsidRPr="00ED61D0">
        <w:t>Paul Davies and Mark Freedland, TOWARDS A FLEXIBLE LABOUR MARKET, Oxford University Press, 2007, p. 38.</w:t>
      </w:r>
    </w:p>
  </w:footnote>
  <w:footnote w:id="348">
    <w:p w14:paraId="0B86FE49" w14:textId="10330014" w:rsidR="00C13AFA" w:rsidRDefault="00C13AFA">
      <w:pPr>
        <w:pStyle w:val="ad"/>
      </w:pPr>
      <w:r>
        <w:rPr>
          <w:rStyle w:val="ae"/>
        </w:rPr>
        <w:footnoteRef/>
      </w:r>
      <w:r>
        <w:t xml:space="preserve"> </w:t>
      </w:r>
      <w:r w:rsidRPr="00ED61D0">
        <w:t xml:space="preserve">This privatization was </w:t>
      </w:r>
      <w:proofErr w:type="gramStart"/>
      <w:r w:rsidRPr="00ED61D0">
        <w:t>effected</w:t>
      </w:r>
      <w:proofErr w:type="gramEnd"/>
      <w:r w:rsidRPr="00ED61D0">
        <w:t xml:space="preserve"> by and under the provisions of the Railways Act 1993.</w:t>
      </w:r>
    </w:p>
  </w:footnote>
  <w:footnote w:id="349">
    <w:p w14:paraId="6EF72EBC" w14:textId="15926470" w:rsidR="00C13AFA" w:rsidRDefault="00C13AFA">
      <w:pPr>
        <w:pStyle w:val="ad"/>
      </w:pPr>
      <w:r>
        <w:rPr>
          <w:rStyle w:val="ae"/>
        </w:rPr>
        <w:footnoteRef/>
      </w:r>
      <w:r>
        <w:t xml:space="preserve"> </w:t>
      </w:r>
      <w:r w:rsidRPr="00ED61D0">
        <w:t>For an account of the origins and history of this initiative in the early 1990s, see M R Freedland, ‘Public Law and Private Finance’ [1998] Public Law 288 at 290-291.</w:t>
      </w:r>
    </w:p>
  </w:footnote>
  <w:footnote w:id="350">
    <w:p w14:paraId="1C7288E1" w14:textId="6CA72999" w:rsidR="00C13AFA" w:rsidRDefault="00C13AFA">
      <w:pPr>
        <w:pStyle w:val="ad"/>
      </w:pPr>
      <w:r>
        <w:rPr>
          <w:rStyle w:val="ae"/>
        </w:rPr>
        <w:footnoteRef/>
      </w:r>
      <w:r>
        <w:t xml:space="preserve"> </w:t>
      </w:r>
      <w:r w:rsidRPr="00ED61D0">
        <w:t>Paul Davies and Mark Freedland, TOWARDS A FLEXIBLE LABOUR MARKET, Oxford University Press, 2007, p. 39.</w:t>
      </w:r>
    </w:p>
  </w:footnote>
  <w:footnote w:id="351">
    <w:p w14:paraId="56E7B106" w14:textId="56C69F49" w:rsidR="00C13AFA" w:rsidRDefault="00C13AFA">
      <w:pPr>
        <w:pStyle w:val="ad"/>
      </w:pPr>
      <w:r>
        <w:rPr>
          <w:rStyle w:val="ae"/>
        </w:rPr>
        <w:footnoteRef/>
      </w:r>
      <w:r>
        <w:t xml:space="preserve"> </w:t>
      </w:r>
      <w:r w:rsidRPr="00ED61D0">
        <w:t>These relations were mediated through ‘Framework Agreements’; for a discussion of their status and significance, see M R Freedland, ‘Government by Contract and Public Law’ [1994] Public Law 86 at 88-90.</w:t>
      </w:r>
    </w:p>
  </w:footnote>
  <w:footnote w:id="352">
    <w:p w14:paraId="04C74D5A" w14:textId="1705D2A0" w:rsidR="00C13AFA" w:rsidRDefault="00C13AFA">
      <w:pPr>
        <w:pStyle w:val="ad"/>
      </w:pPr>
      <w:r>
        <w:rPr>
          <w:rStyle w:val="ae"/>
        </w:rPr>
        <w:footnoteRef/>
      </w:r>
      <w:r>
        <w:t xml:space="preserve"> </w:t>
      </w:r>
      <w:r w:rsidRPr="00ED61D0">
        <w:t xml:space="preserve">Efficiency Unit, Improving Management in Government: </w:t>
      </w:r>
      <w:proofErr w:type="gramStart"/>
      <w:r w:rsidRPr="00ED61D0">
        <w:t>the</w:t>
      </w:r>
      <w:proofErr w:type="gramEnd"/>
      <w:r w:rsidRPr="00ED61D0">
        <w:t xml:space="preserve"> Next Steps-Report to the Prime Minister (London: HMSO, May 1988).</w:t>
      </w:r>
    </w:p>
  </w:footnote>
  <w:footnote w:id="353">
    <w:p w14:paraId="2F213E04" w14:textId="48F01A4F" w:rsidR="00C13AFA" w:rsidRDefault="00C13AFA">
      <w:pPr>
        <w:pStyle w:val="ad"/>
      </w:pPr>
      <w:r>
        <w:rPr>
          <w:rStyle w:val="ae"/>
        </w:rPr>
        <w:footnoteRef/>
      </w:r>
      <w:r>
        <w:t xml:space="preserve"> </w:t>
      </w:r>
      <w:r w:rsidRPr="00ED61D0">
        <w:t>The Citizen’s Charter-Raising the Standard Cm 1599 (London: HMSO, July 1991).</w:t>
      </w:r>
    </w:p>
  </w:footnote>
  <w:footnote w:id="354">
    <w:p w14:paraId="7750C9B9" w14:textId="1D16919B" w:rsidR="00C13AFA" w:rsidRDefault="00C13AFA">
      <w:pPr>
        <w:pStyle w:val="ad"/>
      </w:pPr>
      <w:r>
        <w:rPr>
          <w:rStyle w:val="ae"/>
        </w:rPr>
        <w:footnoteRef/>
      </w:r>
      <w:r>
        <w:t xml:space="preserve"> </w:t>
      </w:r>
      <w:r w:rsidRPr="00ED61D0">
        <w:t xml:space="preserve">For a discussion of the implications, for the law and practice of personal work relations, of the appeal at that period to the right and expectations of citizens in relation to public services in Europe at large, see M R Freedland and S </w:t>
      </w:r>
      <w:proofErr w:type="spellStart"/>
      <w:r w:rsidRPr="00ED61D0">
        <w:t>Sciarra</w:t>
      </w:r>
      <w:proofErr w:type="spellEnd"/>
      <w:r w:rsidRPr="00ED61D0">
        <w:t xml:space="preserve"> (eds), Public Services and Citizenship in European Law- Public and </w:t>
      </w:r>
      <w:proofErr w:type="spellStart"/>
      <w:r w:rsidRPr="00ED61D0">
        <w:t>Labour</w:t>
      </w:r>
      <w:proofErr w:type="spellEnd"/>
      <w:r w:rsidRPr="00ED61D0">
        <w:t xml:space="preserve"> Law Perspectives (Oxford: Clarendon Press, 1998), especially M R Freedland at 23-26 on ‘</w:t>
      </w:r>
      <w:proofErr w:type="spellStart"/>
      <w:r w:rsidRPr="00ED61D0">
        <w:t>Labour</w:t>
      </w:r>
      <w:proofErr w:type="spellEnd"/>
      <w:r w:rsidRPr="00ED61D0">
        <w:t xml:space="preserve"> Law, the Public-service sector, and Citizenship’.</w:t>
      </w:r>
    </w:p>
  </w:footnote>
  <w:footnote w:id="355">
    <w:p w14:paraId="742EE961" w14:textId="2FAA3C7B" w:rsidR="00C13AFA" w:rsidRDefault="00C13AFA">
      <w:pPr>
        <w:pStyle w:val="ad"/>
      </w:pPr>
      <w:r>
        <w:rPr>
          <w:rStyle w:val="ae"/>
        </w:rPr>
        <w:footnoteRef/>
      </w:r>
      <w:r>
        <w:t xml:space="preserve"> </w:t>
      </w:r>
      <w:r w:rsidRPr="00ED61D0">
        <w:t xml:space="preserve">By Section 22 of TURERA 1993, inserting </w:t>
      </w:r>
      <w:proofErr w:type="spellStart"/>
      <w:r w:rsidRPr="00ED61D0">
        <w:t>new s</w:t>
      </w:r>
      <w:proofErr w:type="spellEnd"/>
      <w:r w:rsidRPr="00ED61D0">
        <w:t xml:space="preserve"> 235A into TULRECA 1992.</w:t>
      </w:r>
    </w:p>
  </w:footnote>
  <w:footnote w:id="356">
    <w:p w14:paraId="166D6171" w14:textId="58BC9DB9" w:rsidR="00C13AFA" w:rsidRDefault="00C13AFA">
      <w:pPr>
        <w:pStyle w:val="ad"/>
      </w:pPr>
      <w:r>
        <w:rPr>
          <w:rStyle w:val="ae"/>
        </w:rPr>
        <w:footnoteRef/>
      </w:r>
      <w:r>
        <w:t xml:space="preserve"> </w:t>
      </w:r>
      <w:r w:rsidRPr="00ED61D0">
        <w:t>Paul Davies and Mark Freedland, TOWARDS A FLEXIBLE LABOUR MARKET, Oxford University Press, 2007, p. 40.</w:t>
      </w:r>
    </w:p>
  </w:footnote>
  <w:footnote w:id="357">
    <w:p w14:paraId="3D6D7412" w14:textId="6CE62B5B" w:rsidR="00C13AFA" w:rsidRDefault="00C13AFA">
      <w:pPr>
        <w:pStyle w:val="ad"/>
      </w:pPr>
      <w:r>
        <w:rPr>
          <w:rStyle w:val="ae"/>
        </w:rPr>
        <w:footnoteRef/>
      </w:r>
      <w:r>
        <w:t xml:space="preserve"> </w:t>
      </w:r>
      <w:r w:rsidRPr="00ED61D0">
        <w:t>Paul Davies and Mark Freedland, TOWARDS A FLEXIBLE LABOUR MARKET, Oxford University Press, 2007, p. 41.</w:t>
      </w:r>
    </w:p>
  </w:footnote>
  <w:footnote w:id="358">
    <w:p w14:paraId="64D54F1F" w14:textId="6B7D20FF" w:rsidR="00C13AFA" w:rsidRDefault="00C13AFA">
      <w:pPr>
        <w:pStyle w:val="ad"/>
      </w:pPr>
      <w:r>
        <w:rPr>
          <w:rStyle w:val="ae"/>
        </w:rPr>
        <w:footnoteRef/>
      </w:r>
      <w:r>
        <w:t xml:space="preserve"> </w:t>
      </w:r>
      <w:r w:rsidRPr="00ED61D0">
        <w:t>Paul Davies and Mark Freedland, TOWARDS A FLEXIBLE LABOUR MARKET, Oxford University Press, 2007, p. 41.</w:t>
      </w:r>
    </w:p>
  </w:footnote>
  <w:footnote w:id="359">
    <w:p w14:paraId="11A07B19" w14:textId="57ADBAD1" w:rsidR="00C13AFA" w:rsidRDefault="00C13AFA">
      <w:pPr>
        <w:pStyle w:val="ad"/>
      </w:pPr>
      <w:r>
        <w:rPr>
          <w:rStyle w:val="ae"/>
        </w:rPr>
        <w:footnoteRef/>
      </w:r>
      <w:r>
        <w:t xml:space="preserve"> </w:t>
      </w:r>
      <w:r w:rsidRPr="00ED61D0">
        <w:t>The Citizen’s Charter-Raising the Standard Cm 1599 (London: HMSO, July 1991).</w:t>
      </w:r>
    </w:p>
  </w:footnote>
  <w:footnote w:id="360">
    <w:p w14:paraId="13E74583" w14:textId="7B63AFB2" w:rsidR="00C13AFA" w:rsidRDefault="00C13AFA">
      <w:pPr>
        <w:pStyle w:val="ad"/>
      </w:pPr>
      <w:r>
        <w:rPr>
          <w:rStyle w:val="ae"/>
        </w:rPr>
        <w:footnoteRef/>
      </w:r>
      <w:r>
        <w:t xml:space="preserve"> </w:t>
      </w:r>
      <w:r w:rsidRPr="00ED61D0">
        <w:t>Competing for Quality: buying better public services Cm 1730 (London: HMSO, November 1991).</w:t>
      </w:r>
    </w:p>
  </w:footnote>
  <w:footnote w:id="361">
    <w:p w14:paraId="2BA86C74" w14:textId="0E99771A" w:rsidR="00C13AFA" w:rsidRDefault="00C13AFA">
      <w:pPr>
        <w:pStyle w:val="ad"/>
      </w:pPr>
      <w:r>
        <w:rPr>
          <w:rStyle w:val="ae"/>
        </w:rPr>
        <w:footnoteRef/>
      </w:r>
      <w:r>
        <w:t xml:space="preserve"> </w:t>
      </w:r>
      <w:r w:rsidRPr="00ED61D0">
        <w:t>The Civil Service: Continuity and Change Cm 2627 (London: HMSO, July 1994).</w:t>
      </w:r>
    </w:p>
  </w:footnote>
  <w:footnote w:id="362">
    <w:p w14:paraId="63B2E2BA" w14:textId="66FC35D2" w:rsidR="00C13AFA" w:rsidRDefault="00C13AFA">
      <w:pPr>
        <w:pStyle w:val="ad"/>
      </w:pPr>
      <w:r>
        <w:rPr>
          <w:rStyle w:val="ae"/>
        </w:rPr>
        <w:footnoteRef/>
      </w:r>
      <w:r>
        <w:t xml:space="preserve"> </w:t>
      </w:r>
      <w:r w:rsidRPr="00ED61D0">
        <w:t>At para 1.4.</w:t>
      </w:r>
    </w:p>
  </w:footnote>
  <w:footnote w:id="363">
    <w:p w14:paraId="7AC92B33" w14:textId="0DAA8C39" w:rsidR="00C13AFA" w:rsidRDefault="00C13AFA">
      <w:pPr>
        <w:pStyle w:val="ad"/>
      </w:pPr>
      <w:r>
        <w:rPr>
          <w:rStyle w:val="ae"/>
        </w:rPr>
        <w:footnoteRef/>
      </w:r>
      <w:r>
        <w:t xml:space="preserve"> </w:t>
      </w:r>
      <w:r w:rsidRPr="00ED61D0">
        <w:t>As announced at para 1.5. For details of the process of introduction to the Senior Civil Service of formal written contracts, with provision in some cases for performance related-pay, see M R Freedland, ‘Contracting the Senior Civil Service- a Transparent Exercise?’ [1995] Public Law 225.</w:t>
      </w:r>
    </w:p>
  </w:footnote>
  <w:footnote w:id="364">
    <w:p w14:paraId="0A54D5CE" w14:textId="0F835A8F" w:rsidR="00C13AFA" w:rsidRDefault="00C13AFA">
      <w:pPr>
        <w:pStyle w:val="ad"/>
      </w:pPr>
      <w:r>
        <w:rPr>
          <w:rStyle w:val="ae"/>
        </w:rPr>
        <w:footnoteRef/>
      </w:r>
      <w:r>
        <w:t xml:space="preserve"> </w:t>
      </w:r>
      <w:r w:rsidRPr="00ED61D0">
        <w:t>Cm 3968 (London: TSO, May 1998).</w:t>
      </w:r>
    </w:p>
  </w:footnote>
  <w:footnote w:id="365">
    <w:p w14:paraId="4E3C2831" w14:textId="7E00CCD5" w:rsidR="00C13AFA" w:rsidRDefault="00C13AFA">
      <w:pPr>
        <w:pStyle w:val="ad"/>
      </w:pPr>
      <w:r>
        <w:rPr>
          <w:rStyle w:val="ae"/>
        </w:rPr>
        <w:footnoteRef/>
      </w:r>
      <w:r>
        <w:t xml:space="preserve"> </w:t>
      </w:r>
      <w:r w:rsidRPr="00ED61D0">
        <w:t>Paul Davies and Mark Freedland, TOWARDS A FLEXIBLE LABOUR MARKET, Oxford University Press, 2007, p. 44.</w:t>
      </w:r>
    </w:p>
  </w:footnote>
  <w:footnote w:id="366">
    <w:p w14:paraId="19636FCE" w14:textId="41180FAC" w:rsidR="00C13AFA" w:rsidRDefault="00C13AFA">
      <w:pPr>
        <w:pStyle w:val="ad"/>
      </w:pPr>
      <w:r>
        <w:rPr>
          <w:rStyle w:val="ae"/>
        </w:rPr>
        <w:footnoteRef/>
      </w:r>
      <w:r>
        <w:t xml:space="preserve"> </w:t>
      </w:r>
      <w:r w:rsidRPr="00ED61D0">
        <w:t>Paul Davies and Mark Freedland, TOWARDS A FLEXIBLE LABOUR MARKET, Oxford University Press, 2007, p. 44.</w:t>
      </w:r>
    </w:p>
  </w:footnote>
  <w:footnote w:id="367">
    <w:p w14:paraId="21380381" w14:textId="3A86ED5B" w:rsidR="00C13AFA" w:rsidRDefault="00C13AFA">
      <w:pPr>
        <w:pStyle w:val="ad"/>
      </w:pPr>
      <w:r>
        <w:rPr>
          <w:rStyle w:val="ae"/>
        </w:rPr>
        <w:footnoteRef/>
      </w:r>
      <w:r>
        <w:t xml:space="preserve"> </w:t>
      </w:r>
      <w:r w:rsidRPr="00ED61D0">
        <w:t>Cm476 (London: TSO, December 1998).</w:t>
      </w:r>
    </w:p>
  </w:footnote>
  <w:footnote w:id="368">
    <w:p w14:paraId="0389B98A" w14:textId="0231379A" w:rsidR="00C13AFA" w:rsidRDefault="00C13AFA">
      <w:pPr>
        <w:pStyle w:val="ad"/>
      </w:pPr>
      <w:r>
        <w:rPr>
          <w:rStyle w:val="ae"/>
        </w:rPr>
        <w:footnoteRef/>
      </w:r>
      <w:r>
        <w:t xml:space="preserve"> </w:t>
      </w:r>
      <w:r w:rsidRPr="00ED61D0">
        <w:t>Cm 4310 (London: TSO, March 1999).</w:t>
      </w:r>
    </w:p>
  </w:footnote>
  <w:footnote w:id="369">
    <w:p w14:paraId="6A8316D0" w14:textId="61CC3726" w:rsidR="00C13AFA" w:rsidRDefault="00C13AFA">
      <w:pPr>
        <w:pStyle w:val="ad"/>
      </w:pPr>
      <w:r>
        <w:rPr>
          <w:rStyle w:val="ae"/>
        </w:rPr>
        <w:footnoteRef/>
      </w:r>
      <w:r>
        <w:t xml:space="preserve"> </w:t>
      </w:r>
      <w:r w:rsidRPr="00903519">
        <w:t>Paul Davies and Mark Freedland, TOWARDS A FLEXIBLE LABOUR MARKET, Oxford University Press, 2007, p. 44.</w:t>
      </w:r>
    </w:p>
  </w:footnote>
  <w:footnote w:id="370">
    <w:p w14:paraId="0228A5D6" w14:textId="52B39C36" w:rsidR="00C13AFA" w:rsidRDefault="00C13AFA">
      <w:pPr>
        <w:pStyle w:val="ad"/>
      </w:pPr>
      <w:r>
        <w:rPr>
          <w:rStyle w:val="ae"/>
        </w:rPr>
        <w:footnoteRef/>
      </w:r>
      <w:r>
        <w:t xml:space="preserve"> </w:t>
      </w:r>
      <w:r w:rsidRPr="00903519">
        <w:t xml:space="preserve">H Collins, ‘Regulating the Employment Relation for Competitiveness’ (2001) 30 ILJ 17. Compare also his ‘Is there a Third Way in </w:t>
      </w:r>
      <w:proofErr w:type="spellStart"/>
      <w:r w:rsidRPr="00903519">
        <w:t>Labour</w:t>
      </w:r>
      <w:proofErr w:type="spellEnd"/>
      <w:r w:rsidRPr="00903519">
        <w:t xml:space="preserve"> Law?’ in J </w:t>
      </w:r>
      <w:proofErr w:type="spellStart"/>
      <w:r w:rsidRPr="00903519">
        <w:t>Conaghan</w:t>
      </w:r>
      <w:proofErr w:type="spellEnd"/>
      <w:r w:rsidRPr="00903519">
        <w:t xml:space="preserve">, R </w:t>
      </w:r>
      <w:proofErr w:type="spellStart"/>
      <w:r w:rsidRPr="00903519">
        <w:t>Fischl</w:t>
      </w:r>
      <w:proofErr w:type="spellEnd"/>
      <w:r w:rsidRPr="00903519">
        <w:t xml:space="preserve">, and K </w:t>
      </w:r>
      <w:proofErr w:type="spellStart"/>
      <w:r w:rsidRPr="00903519">
        <w:t>Klare</w:t>
      </w:r>
      <w:proofErr w:type="spellEnd"/>
      <w:r w:rsidRPr="00903519">
        <w:t xml:space="preserve">, </w:t>
      </w:r>
      <w:proofErr w:type="spellStart"/>
      <w:r w:rsidRPr="00903519">
        <w:t>Labour</w:t>
      </w:r>
      <w:proofErr w:type="spellEnd"/>
      <w:r w:rsidRPr="00903519">
        <w:t xml:space="preserve"> Law in an Era of </w:t>
      </w:r>
      <w:proofErr w:type="spellStart"/>
      <w:r w:rsidRPr="00903519">
        <w:t>Globlisation</w:t>
      </w:r>
      <w:proofErr w:type="spellEnd"/>
      <w:r w:rsidRPr="00903519">
        <w:t xml:space="preserve"> (Oxford: OUP, 2001).</w:t>
      </w:r>
    </w:p>
  </w:footnote>
  <w:footnote w:id="371">
    <w:p w14:paraId="75D44D7F" w14:textId="12546E23" w:rsidR="00C13AFA" w:rsidRDefault="00C13AFA">
      <w:pPr>
        <w:pStyle w:val="ad"/>
      </w:pPr>
      <w:r>
        <w:rPr>
          <w:rStyle w:val="ae"/>
        </w:rPr>
        <w:footnoteRef/>
      </w:r>
      <w:r>
        <w:t xml:space="preserve"> </w:t>
      </w:r>
      <w:r w:rsidRPr="00903519">
        <w:t>Paul Davies and Mark Freedland, TOWARDS A FLEXIBLE LABOUR MARKET, Oxford University Press, 2007, p. 44.</w:t>
      </w:r>
    </w:p>
  </w:footnote>
  <w:footnote w:id="372">
    <w:p w14:paraId="3317CD04" w14:textId="13407D43" w:rsidR="00C13AFA" w:rsidRDefault="00C13AFA">
      <w:pPr>
        <w:pStyle w:val="ad"/>
      </w:pPr>
      <w:r>
        <w:rPr>
          <w:rStyle w:val="ae"/>
        </w:rPr>
        <w:footnoteRef/>
      </w:r>
      <w:r>
        <w:t xml:space="preserve"> </w:t>
      </w:r>
      <w:r w:rsidRPr="00903519">
        <w:t>Paul Davies and Mark Freedland, TOWARDS A FLEXIBLE LABOUR MARKET, Oxford University Press, 2007, p. 44.</w:t>
      </w:r>
    </w:p>
  </w:footnote>
  <w:footnote w:id="373">
    <w:p w14:paraId="0CF94AAA" w14:textId="6D7093D3" w:rsidR="00C13AFA" w:rsidRDefault="00C13AFA">
      <w:pPr>
        <w:pStyle w:val="ad"/>
      </w:pPr>
      <w:r>
        <w:rPr>
          <w:rStyle w:val="ae"/>
        </w:rPr>
        <w:footnoteRef/>
      </w:r>
      <w:r>
        <w:t xml:space="preserve"> </w:t>
      </w:r>
      <w:r w:rsidRPr="00903519">
        <w:t>Paul Davies and Mark Freedland, TOWARDS A FLEXIBLE LABOUR MARKET, Oxford University Press, 2007, p. 45.</w:t>
      </w:r>
    </w:p>
  </w:footnote>
  <w:footnote w:id="374">
    <w:p w14:paraId="5406A85C" w14:textId="365CB904" w:rsidR="00C13AFA" w:rsidRDefault="00C13AFA">
      <w:pPr>
        <w:pStyle w:val="ad"/>
      </w:pPr>
      <w:r>
        <w:rPr>
          <w:rStyle w:val="ae"/>
        </w:rPr>
        <w:footnoteRef/>
      </w:r>
      <w:r>
        <w:t xml:space="preserve"> </w:t>
      </w:r>
      <w:r w:rsidRPr="00903519">
        <w:t>Published by the Department of Trade and Industry (DTI) as a supporting document to the White Paper; see http://www.dti.gov.uk/comp/competitive/.</w:t>
      </w:r>
    </w:p>
  </w:footnote>
  <w:footnote w:id="375">
    <w:p w14:paraId="78EE2BDD" w14:textId="203387B9" w:rsidR="00C13AFA" w:rsidRDefault="00C13AFA">
      <w:pPr>
        <w:pStyle w:val="ad"/>
      </w:pPr>
      <w:r>
        <w:rPr>
          <w:rStyle w:val="ae"/>
        </w:rPr>
        <w:footnoteRef/>
      </w:r>
      <w:r>
        <w:t xml:space="preserve"> </w:t>
      </w:r>
      <w:r w:rsidRPr="00903519">
        <w:t>See especially paras 1.15-1.18 and 4.11-4.14 (Enterprise and Innovation).</w:t>
      </w:r>
    </w:p>
  </w:footnote>
  <w:footnote w:id="376">
    <w:p w14:paraId="6DFF60F9" w14:textId="54D937D6" w:rsidR="00C13AFA" w:rsidRDefault="00C13AFA">
      <w:pPr>
        <w:pStyle w:val="ad"/>
      </w:pPr>
      <w:r>
        <w:rPr>
          <w:rStyle w:val="ae"/>
        </w:rPr>
        <w:footnoteRef/>
      </w:r>
      <w:r>
        <w:t xml:space="preserve"> </w:t>
      </w:r>
      <w:r w:rsidRPr="00903519">
        <w:t>Paul Davies and Mark Freedland, TOWARDS A FLEXIBLE LABOUR MARKET, Oxford University Press, 2007, p. 45.</w:t>
      </w:r>
    </w:p>
  </w:footnote>
  <w:footnote w:id="377">
    <w:p w14:paraId="040E9FD6" w14:textId="57CCFFAD" w:rsidR="00C13AFA" w:rsidRDefault="00C13AFA">
      <w:pPr>
        <w:pStyle w:val="ad"/>
      </w:pPr>
      <w:r>
        <w:rPr>
          <w:rStyle w:val="ae"/>
        </w:rPr>
        <w:footnoteRef/>
      </w:r>
      <w:r>
        <w:t xml:space="preserve"> </w:t>
      </w:r>
      <w:r w:rsidRPr="00903519">
        <w:t>Paul Davies and Mark Freedland, TOWARDS A FLEXIBLE LABOUR MARKET, Oxford University Press, 2007, p. 45-46.</w:t>
      </w:r>
    </w:p>
  </w:footnote>
  <w:footnote w:id="378">
    <w:p w14:paraId="16451097" w14:textId="6D20DC28" w:rsidR="00C13AFA" w:rsidRDefault="00C13AFA">
      <w:pPr>
        <w:pStyle w:val="ad"/>
      </w:pPr>
      <w:r>
        <w:rPr>
          <w:rStyle w:val="ae"/>
        </w:rPr>
        <w:footnoteRef/>
      </w:r>
      <w:r>
        <w:t xml:space="preserve"> </w:t>
      </w:r>
      <w:r w:rsidRPr="00903519">
        <w:t>Fairness at Work, Foreword, para 2.</w:t>
      </w:r>
    </w:p>
  </w:footnote>
  <w:footnote w:id="379">
    <w:p w14:paraId="0D3DE067" w14:textId="452BBD99" w:rsidR="00C13AFA" w:rsidRDefault="00C13AFA">
      <w:pPr>
        <w:pStyle w:val="ad"/>
      </w:pPr>
      <w:r>
        <w:rPr>
          <w:rStyle w:val="ae"/>
        </w:rPr>
        <w:footnoteRef/>
      </w:r>
      <w:r>
        <w:t xml:space="preserve"> </w:t>
      </w:r>
      <w:r w:rsidRPr="00903519">
        <w:t>Fairness at Work, Foreword, para 3.2.</w:t>
      </w:r>
    </w:p>
  </w:footnote>
  <w:footnote w:id="380">
    <w:p w14:paraId="78CDA87D" w14:textId="57505F8B" w:rsidR="00C13AFA" w:rsidRDefault="00C13AFA">
      <w:pPr>
        <w:pStyle w:val="ad"/>
      </w:pPr>
      <w:r>
        <w:rPr>
          <w:rStyle w:val="ae"/>
        </w:rPr>
        <w:footnoteRef/>
      </w:r>
      <w:r>
        <w:t xml:space="preserve"> </w:t>
      </w:r>
      <w:r w:rsidRPr="00903519">
        <w:t>Fairness at Work, Foreword, para 1.10.</w:t>
      </w:r>
    </w:p>
  </w:footnote>
  <w:footnote w:id="381">
    <w:p w14:paraId="63D1D585" w14:textId="712983EE" w:rsidR="00C13AFA" w:rsidRDefault="00C13AFA">
      <w:pPr>
        <w:pStyle w:val="ad"/>
      </w:pPr>
      <w:r>
        <w:rPr>
          <w:rStyle w:val="ae"/>
        </w:rPr>
        <w:footnoteRef/>
      </w:r>
      <w:r>
        <w:t xml:space="preserve"> </w:t>
      </w:r>
      <w:r w:rsidRPr="00645D20">
        <w:t>Fairness at Work, Foreword, Chapter 5.</w:t>
      </w:r>
    </w:p>
  </w:footnote>
  <w:footnote w:id="382">
    <w:p w14:paraId="7694BB53" w14:textId="33454DA5" w:rsidR="00C13AFA" w:rsidRDefault="00C13AFA">
      <w:pPr>
        <w:pStyle w:val="ad"/>
      </w:pPr>
      <w:r>
        <w:rPr>
          <w:rStyle w:val="ae"/>
        </w:rPr>
        <w:footnoteRef/>
      </w:r>
      <w:r>
        <w:t xml:space="preserve"> </w:t>
      </w:r>
      <w:r w:rsidRPr="00645D20">
        <w:t>Fairness at Work, Foreword, para 3.3-3.13.</w:t>
      </w:r>
    </w:p>
  </w:footnote>
  <w:footnote w:id="383">
    <w:p w14:paraId="14652575" w14:textId="4CF77D29" w:rsidR="00C13AFA" w:rsidRDefault="00C13AFA">
      <w:pPr>
        <w:pStyle w:val="ad"/>
      </w:pPr>
      <w:r>
        <w:rPr>
          <w:rStyle w:val="ae"/>
        </w:rPr>
        <w:footnoteRef/>
      </w:r>
      <w:r>
        <w:t xml:space="preserve"> </w:t>
      </w:r>
      <w:r w:rsidRPr="00645D20">
        <w:t>Fairness at Work, Foreword, para 1.11.</w:t>
      </w:r>
    </w:p>
  </w:footnote>
  <w:footnote w:id="384">
    <w:p w14:paraId="5ADED96C" w14:textId="7400A8F3" w:rsidR="00C13AFA" w:rsidRDefault="00C13AFA">
      <w:pPr>
        <w:pStyle w:val="ad"/>
      </w:pPr>
      <w:r>
        <w:rPr>
          <w:rStyle w:val="ae"/>
        </w:rPr>
        <w:footnoteRef/>
      </w:r>
      <w:r>
        <w:t xml:space="preserve"> </w:t>
      </w:r>
      <w:r w:rsidRPr="00645D20">
        <w:t>Paul Davies and Mark Freedland, TOWARDS A FLEXIBLE LABOUR MARKET, Oxford University Press, 2007, p. 46.</w:t>
      </w:r>
    </w:p>
  </w:footnote>
  <w:footnote w:id="385">
    <w:p w14:paraId="64B9293C" w14:textId="14EA55E0" w:rsidR="00C13AFA" w:rsidRDefault="00C13AFA">
      <w:pPr>
        <w:pStyle w:val="ad"/>
      </w:pPr>
      <w:r>
        <w:rPr>
          <w:rStyle w:val="ae"/>
        </w:rPr>
        <w:footnoteRef/>
      </w:r>
      <w:r>
        <w:t xml:space="preserve"> </w:t>
      </w:r>
      <w:r w:rsidRPr="00645D20">
        <w:t>Paul Davies and Mark Freedland, TOWARDS A FLEXIBLE LABOUR MARKET, Oxford University Press, 2007, p. 46.</w:t>
      </w:r>
    </w:p>
  </w:footnote>
  <w:footnote w:id="386">
    <w:p w14:paraId="510803F2" w14:textId="7AEC6D30" w:rsidR="00C13AFA" w:rsidRDefault="00C13AFA">
      <w:pPr>
        <w:pStyle w:val="ad"/>
      </w:pPr>
      <w:r>
        <w:rPr>
          <w:rStyle w:val="ae"/>
        </w:rPr>
        <w:footnoteRef/>
      </w:r>
      <w:r>
        <w:t xml:space="preserve"> </w:t>
      </w:r>
      <w:r w:rsidRPr="00645D20">
        <w:t>Paul Davies and Mark Freedland, TOWARDS A FLEXIBLE LABOUR MARKET, Oxford University Press, 2007, p. 47.</w:t>
      </w:r>
    </w:p>
  </w:footnote>
  <w:footnote w:id="387">
    <w:p w14:paraId="7DF3A328" w14:textId="51D1F2A1" w:rsidR="00C13AFA" w:rsidRDefault="00C13AFA">
      <w:pPr>
        <w:pStyle w:val="ad"/>
      </w:pPr>
      <w:r>
        <w:rPr>
          <w:rStyle w:val="ae"/>
        </w:rPr>
        <w:footnoteRef/>
      </w:r>
      <w:r>
        <w:t xml:space="preserve"> </w:t>
      </w:r>
      <w:r w:rsidRPr="00645D20">
        <w:t>The National Minimum Wage Act (Amendment) Regulations 1999, SI 1999/583, and the National Minimum Wage Regulations 1999, SI 1999/584.</w:t>
      </w:r>
    </w:p>
  </w:footnote>
  <w:footnote w:id="388">
    <w:p w14:paraId="573AC8ED" w14:textId="10B0E3FC" w:rsidR="00C13AFA" w:rsidRDefault="00C13AFA">
      <w:pPr>
        <w:pStyle w:val="ad"/>
      </w:pPr>
      <w:r>
        <w:rPr>
          <w:rStyle w:val="ae"/>
        </w:rPr>
        <w:footnoteRef/>
      </w:r>
      <w:r>
        <w:t xml:space="preserve"> </w:t>
      </w:r>
      <w:r w:rsidRPr="00645D20">
        <w:t xml:space="preserve">As </w:t>
      </w:r>
      <w:proofErr w:type="spellStart"/>
      <w:r w:rsidRPr="00645D20">
        <w:t>Mrs</w:t>
      </w:r>
      <w:proofErr w:type="spellEnd"/>
      <w:r w:rsidRPr="00645D20">
        <w:t xml:space="preserve"> Margaret Beckett, then Secretary of State for Trade and Industry, was not slow to do in the Second Reading Debate on the Bill in the House of Commons: Hansard, HC (series 6) vol 303, col 162 et seq (16 December 1997).</w:t>
      </w:r>
    </w:p>
  </w:footnote>
  <w:footnote w:id="389">
    <w:p w14:paraId="3A49144F" w14:textId="4B1A70B4" w:rsidR="00C13AFA" w:rsidRDefault="00C13AFA">
      <w:pPr>
        <w:pStyle w:val="ad"/>
      </w:pPr>
      <w:r>
        <w:rPr>
          <w:rStyle w:val="ae"/>
        </w:rPr>
        <w:footnoteRef/>
      </w:r>
      <w:r>
        <w:t xml:space="preserve"> </w:t>
      </w:r>
      <w:r w:rsidRPr="00645D20">
        <w:t>Section 1 of the Act, workers to be paid at least the national minimum wage, section 54 defining the term ‘worker’.</w:t>
      </w:r>
    </w:p>
  </w:footnote>
  <w:footnote w:id="390">
    <w:p w14:paraId="7509AE7B" w14:textId="33C41A57" w:rsidR="00C13AFA" w:rsidRDefault="00C13AFA">
      <w:pPr>
        <w:pStyle w:val="ad"/>
      </w:pPr>
      <w:r>
        <w:rPr>
          <w:rStyle w:val="ae"/>
        </w:rPr>
        <w:footnoteRef/>
      </w:r>
      <w:r>
        <w:t xml:space="preserve"> </w:t>
      </w:r>
      <w:r w:rsidRPr="00645D20">
        <w:t>B Simpson, ‘A Milestone in the Legal Regulation of Pay: The National Minimum Wage Act 1998’ (1999) 28 ILJ 1; ‘Implementing the National Minimum Wage-The 1999 Regulations’ (1999) 28 ILJ 171; ‘The National Minimum Wage Five Years On: Reflections on Some General Issues’ (2004) 33 ILJ 22.</w:t>
      </w:r>
    </w:p>
  </w:footnote>
  <w:footnote w:id="391">
    <w:p w14:paraId="5FA0F632" w14:textId="49174EB3" w:rsidR="00C13AFA" w:rsidRDefault="00C13AFA">
      <w:pPr>
        <w:pStyle w:val="ad"/>
      </w:pPr>
      <w:r>
        <w:rPr>
          <w:rStyle w:val="ae"/>
        </w:rPr>
        <w:footnoteRef/>
      </w:r>
      <w:r>
        <w:t xml:space="preserve"> </w:t>
      </w:r>
      <w:r w:rsidRPr="00645D20">
        <w:t>B Simpson, ‘A Milestone in the Legal Regulation of Pay: The National Minimum Wage Act 1998’ (1999) 28 ILJ 1 at 1.</w:t>
      </w:r>
    </w:p>
  </w:footnote>
  <w:footnote w:id="392">
    <w:p w14:paraId="40B8A09C" w14:textId="41BC85BE" w:rsidR="00C13AFA" w:rsidRDefault="00C13AFA">
      <w:pPr>
        <w:pStyle w:val="ad"/>
      </w:pPr>
      <w:r>
        <w:rPr>
          <w:rStyle w:val="ae"/>
        </w:rPr>
        <w:footnoteRef/>
      </w:r>
      <w:r>
        <w:t xml:space="preserve"> </w:t>
      </w:r>
      <w:r w:rsidRPr="00645D20">
        <w:t>The initial main rate, from April 1999, was £3.60 per hour and it had risen to £5.35 by October 2006 and then the current rate from April 2018 is £7.83 for workers aged 25 and over.</w:t>
      </w:r>
    </w:p>
  </w:footnote>
  <w:footnote w:id="393">
    <w:p w14:paraId="03379B1A" w14:textId="098E8E9D" w:rsidR="00C13AFA" w:rsidRDefault="00C13AFA">
      <w:pPr>
        <w:pStyle w:val="ad"/>
      </w:pPr>
      <w:r>
        <w:rPr>
          <w:rStyle w:val="ae"/>
        </w:rPr>
        <w:footnoteRef/>
      </w:r>
      <w:r>
        <w:t xml:space="preserve"> </w:t>
      </w:r>
      <w:r w:rsidRPr="00645D20">
        <w:t>Provisions to impose or enable these exclusions or modifications of the main National Minimum Wage were made in general terms by the 1998 Act and specifically by the 1999 Regulations. The rate initially set for workers between 18 and 22 was £3, which had risen to £4.45 by October 2006. The requirement to set minimum wage rates for young workers was extended to workers of 16 or more by Regulations made in 2004 (SI 2004/1930), at which point an hourly minimum of £3 was set for workers between 16 and 18.</w:t>
      </w:r>
    </w:p>
  </w:footnote>
  <w:footnote w:id="394">
    <w:p w14:paraId="3BA9A818" w14:textId="0D54E47F" w:rsidR="00C13AFA" w:rsidRDefault="00C13AFA">
      <w:pPr>
        <w:pStyle w:val="ad"/>
      </w:pPr>
      <w:r>
        <w:rPr>
          <w:rStyle w:val="ae"/>
        </w:rPr>
        <w:footnoteRef/>
      </w:r>
      <w:r>
        <w:t xml:space="preserve"> </w:t>
      </w:r>
      <w:r w:rsidRPr="00645D20">
        <w:t>Compare B Simpson, ‘A Milestone in the Legal Regulation of Pay: The National Minimum Wage Act 1998’ (1999) 28 ILJ 1 at 2-3.</w:t>
      </w:r>
    </w:p>
  </w:footnote>
  <w:footnote w:id="395">
    <w:p w14:paraId="2B3E2467" w14:textId="5B9D3611" w:rsidR="00C13AFA" w:rsidRDefault="00C13AFA">
      <w:pPr>
        <w:pStyle w:val="ad"/>
      </w:pPr>
      <w:r>
        <w:rPr>
          <w:rStyle w:val="ae"/>
        </w:rPr>
        <w:footnoteRef/>
      </w:r>
      <w:r>
        <w:t xml:space="preserve"> </w:t>
      </w:r>
      <w:r w:rsidRPr="00645D20">
        <w:t>Paul Davies and Mark Freedland, TOWARDS A FLEXIBLE LABOUR MARKET, Oxford University Press, 2007, p. 49.</w:t>
      </w:r>
    </w:p>
  </w:footnote>
  <w:footnote w:id="396">
    <w:p w14:paraId="6F529CBD" w14:textId="1C56ADB6" w:rsidR="00C13AFA" w:rsidRPr="00645D20" w:rsidRDefault="00C13AFA">
      <w:pPr>
        <w:pStyle w:val="ad"/>
      </w:pPr>
      <w:r>
        <w:rPr>
          <w:rStyle w:val="ae"/>
        </w:rPr>
        <w:footnoteRef/>
      </w:r>
      <w:r>
        <w:t xml:space="preserve"> </w:t>
      </w:r>
      <w:r w:rsidRPr="00645D20">
        <w:t>See C Barnard, ‘The United Kingdom, the “Social Chapter”, and the Amsterdam Treaty’ (1998) 27 ILJ 275-282.</w:t>
      </w:r>
    </w:p>
  </w:footnote>
  <w:footnote w:id="397">
    <w:p w14:paraId="172DB154" w14:textId="78914C3B" w:rsidR="00C13AFA" w:rsidRDefault="00C13AFA">
      <w:pPr>
        <w:pStyle w:val="ad"/>
      </w:pPr>
      <w:r>
        <w:rPr>
          <w:rStyle w:val="ae"/>
        </w:rPr>
        <w:footnoteRef/>
      </w:r>
      <w:r>
        <w:t xml:space="preserve"> </w:t>
      </w:r>
      <w:r w:rsidRPr="00645D20">
        <w:t>Paul Davies and Mark Freedland, TOWARDS A FLEXIBLE LABOUR MARKET, Oxford University Press, 2007, p. 49.</w:t>
      </w:r>
    </w:p>
  </w:footnote>
  <w:footnote w:id="398">
    <w:p w14:paraId="2FA61989" w14:textId="0E437BC4" w:rsidR="00C13AFA" w:rsidRDefault="00C13AFA">
      <w:pPr>
        <w:pStyle w:val="ad"/>
      </w:pPr>
      <w:r>
        <w:rPr>
          <w:rStyle w:val="ae"/>
        </w:rPr>
        <w:footnoteRef/>
      </w:r>
      <w:r>
        <w:t xml:space="preserve"> </w:t>
      </w:r>
      <w:r w:rsidRPr="00645D20">
        <w:t>Working Time Directive, Art 17.</w:t>
      </w:r>
    </w:p>
  </w:footnote>
  <w:footnote w:id="399">
    <w:p w14:paraId="34A44EA7" w14:textId="3930CFC7" w:rsidR="00C13AFA" w:rsidRDefault="00C13AFA">
      <w:pPr>
        <w:pStyle w:val="ad"/>
      </w:pPr>
      <w:r>
        <w:rPr>
          <w:rStyle w:val="ae"/>
        </w:rPr>
        <w:footnoteRef/>
      </w:r>
      <w:r>
        <w:t xml:space="preserve"> </w:t>
      </w:r>
      <w:r w:rsidRPr="00645D20">
        <w:t>Working Time Directive, Art 18(1)(b)(ⅰ), with respect to the maximum weekly working time (the 48 hour work) provision of Art 6; conditions and safeguards are thereby placed upon this capacity for derogation, including that Member States invoking it shall take the necessary measures to ensure that no worker is subjected to any detriment by his employer because he is not willing to give his agreement to work for more than 48 hours per week.</w:t>
      </w:r>
    </w:p>
  </w:footnote>
  <w:footnote w:id="400">
    <w:p w14:paraId="68DDA69A" w14:textId="3D9120FA" w:rsidR="00C13AFA" w:rsidRDefault="00C13AFA">
      <w:pPr>
        <w:pStyle w:val="ad"/>
      </w:pPr>
      <w:r>
        <w:rPr>
          <w:rStyle w:val="ae"/>
        </w:rPr>
        <w:footnoteRef/>
      </w:r>
      <w:r>
        <w:t xml:space="preserve"> </w:t>
      </w:r>
      <w:r w:rsidRPr="00645D20">
        <w:t>Further very important provisions were made for limits and controls on night work (Working Time Directive, Arts 8-11; Working Time Regulations, Regs 6-7) and for daily rest and rest breaks and weekly rest periods (Working Time Directive, Arts 3-5; Working Time Regulations, Regs 10-12).</w:t>
      </w:r>
    </w:p>
  </w:footnote>
  <w:footnote w:id="401">
    <w:p w14:paraId="61EA92CA" w14:textId="0DEF23D4" w:rsidR="00C13AFA" w:rsidRPr="00645D20" w:rsidRDefault="00C13AFA">
      <w:pPr>
        <w:pStyle w:val="ad"/>
      </w:pPr>
      <w:r>
        <w:rPr>
          <w:rStyle w:val="ae"/>
        </w:rPr>
        <w:footnoteRef/>
      </w:r>
      <w:r>
        <w:t xml:space="preserve"> </w:t>
      </w:r>
      <w:r w:rsidRPr="00645D20">
        <w:t>Working Time Directive, Art 18(1)(b)(ⅰ), with respect to the maximum weekly working time (the 48 hour work) provision of Art 6; conditions and safeguards are thereby placed upon this capacity for derogation, including that Member States invoking it shall take the necessary measures to ensure that no worker is subjected to any detriment by his employer because he is not willing to give his agreement to work for more than 48 hours per week.</w:t>
      </w:r>
    </w:p>
  </w:footnote>
  <w:footnote w:id="402">
    <w:p w14:paraId="72C4E71A" w14:textId="7D4EF8FC" w:rsidR="00C13AFA" w:rsidRDefault="00C13AFA">
      <w:pPr>
        <w:pStyle w:val="ad"/>
      </w:pPr>
      <w:r>
        <w:rPr>
          <w:rStyle w:val="ae"/>
        </w:rPr>
        <w:footnoteRef/>
      </w:r>
      <w:r>
        <w:t xml:space="preserve"> </w:t>
      </w:r>
      <w:r w:rsidRPr="00645D20">
        <w:t>Working Time Regulations, Reg 5. Reg 31 confers a right upon workers not to suffer detriment for refusal to make such an agreement; but it is notable that this protection does not extend to applicants for work, and possibly arguable that Working Time Directive, Art 18, properly interpreted, requires applicants for work to be included in the protection.</w:t>
      </w:r>
    </w:p>
  </w:footnote>
  <w:footnote w:id="403">
    <w:p w14:paraId="6FE6E1FA" w14:textId="1489D9C7" w:rsidR="00C13AFA" w:rsidRDefault="00C13AFA">
      <w:pPr>
        <w:pStyle w:val="ad"/>
      </w:pPr>
      <w:r>
        <w:rPr>
          <w:rStyle w:val="ae"/>
        </w:rPr>
        <w:footnoteRef/>
      </w:r>
      <w:r>
        <w:t xml:space="preserve"> </w:t>
      </w:r>
      <w:r w:rsidRPr="00645D20">
        <w:t>Paul Davies and Mark Freedland, TOWARDS A FLEXIBLE LABOUR MARKET, Oxford University Press, 2007, p. 50.</w:t>
      </w:r>
    </w:p>
  </w:footnote>
  <w:footnote w:id="404">
    <w:p w14:paraId="30DC3FAC" w14:textId="66F6A2AF" w:rsidR="00C13AFA" w:rsidRDefault="00C13AFA">
      <w:pPr>
        <w:pStyle w:val="ad"/>
      </w:pPr>
      <w:r>
        <w:rPr>
          <w:rStyle w:val="ae"/>
        </w:rPr>
        <w:footnoteRef/>
      </w:r>
      <w:r>
        <w:t xml:space="preserve"> </w:t>
      </w:r>
      <w:r w:rsidRPr="00645D20">
        <w:t>C Barnard, S Deakin, and R Hobbs, ‘Opting Out of the 48-hour Week: Employer Necessity or Individual Choice? An Empirical Study of the Operation of Article 18 (1)(b) of the Working Time Directive in the UK’ (2003) 32 ILJ 223.</w:t>
      </w:r>
    </w:p>
  </w:footnote>
  <w:footnote w:id="405">
    <w:p w14:paraId="1E0721BC" w14:textId="1DD34163" w:rsidR="00C13AFA" w:rsidRDefault="00C13AFA">
      <w:pPr>
        <w:pStyle w:val="ad"/>
      </w:pPr>
      <w:r>
        <w:rPr>
          <w:rStyle w:val="ae"/>
        </w:rPr>
        <w:footnoteRef/>
      </w:r>
      <w:r>
        <w:t xml:space="preserve"> </w:t>
      </w:r>
      <w:r w:rsidRPr="00645D20">
        <w:t>Paul Davies and Mark Freedland, TOWARDS A FLEXIBLE LABOUR MARKET, Oxford University Press, 2007, p. 50 -51.</w:t>
      </w:r>
    </w:p>
  </w:footnote>
  <w:footnote w:id="406">
    <w:p w14:paraId="5BA7CB6C" w14:textId="61D94AB5" w:rsidR="00C13AFA" w:rsidRDefault="00C13AFA">
      <w:pPr>
        <w:pStyle w:val="ad"/>
      </w:pPr>
      <w:r>
        <w:rPr>
          <w:rStyle w:val="ae"/>
        </w:rPr>
        <w:footnoteRef/>
      </w:r>
      <w:r>
        <w:t xml:space="preserve"> </w:t>
      </w:r>
      <w:r w:rsidRPr="00645D20">
        <w:t>Paul Davies and Mark Freedland, TOWARDS A FLEXIBLE LABOUR MARKET, Oxford University Press, 2007, p. 51.</w:t>
      </w:r>
    </w:p>
  </w:footnote>
  <w:footnote w:id="407">
    <w:p w14:paraId="14A6C429" w14:textId="5747A593" w:rsidR="00C13AFA" w:rsidRDefault="00C13AFA">
      <w:pPr>
        <w:pStyle w:val="ad"/>
      </w:pPr>
      <w:r>
        <w:rPr>
          <w:rStyle w:val="ae"/>
        </w:rPr>
        <w:footnoteRef/>
      </w:r>
      <w:r>
        <w:t xml:space="preserve"> </w:t>
      </w:r>
      <w:r w:rsidRPr="00645D20">
        <w:t>SI 1999/3312.</w:t>
      </w:r>
    </w:p>
  </w:footnote>
  <w:footnote w:id="408">
    <w:p w14:paraId="6B9FC4F6" w14:textId="69C90C38" w:rsidR="00C13AFA" w:rsidRDefault="00C13AFA">
      <w:pPr>
        <w:pStyle w:val="ad"/>
      </w:pPr>
      <w:r>
        <w:rPr>
          <w:rStyle w:val="ae"/>
        </w:rPr>
        <w:footnoteRef/>
      </w:r>
      <w:r>
        <w:t xml:space="preserve"> </w:t>
      </w:r>
      <w:r w:rsidRPr="00645D20">
        <w:t>Council Directive 96/34/EC (OJ L145/4, 19 June 1996), implementing the Framework Agreement on Parental Leave of 1995.</w:t>
      </w:r>
    </w:p>
  </w:footnote>
  <w:footnote w:id="409">
    <w:p w14:paraId="594D65F9" w14:textId="4052BC22" w:rsidR="00C13AFA" w:rsidRDefault="00C13AFA">
      <w:pPr>
        <w:pStyle w:val="ad"/>
      </w:pPr>
      <w:r>
        <w:rPr>
          <w:rStyle w:val="ae"/>
        </w:rPr>
        <w:footnoteRef/>
      </w:r>
      <w:r>
        <w:t xml:space="preserve"> </w:t>
      </w:r>
      <w:r w:rsidRPr="00645D20">
        <w:t>Section 7 and Part Ⅰ of Schedule 4 provided a new framework for maternity and parental leave, within which the Regulations enacted detailed provisions. In addition, in what is generally regarded as a straightforward, or marginally generous to employees, implementation of the relevant provisions of the Directive, section 8 and Schedule 4 Part Ⅱ (creating</w:t>
      </w:r>
    </w:p>
  </w:footnote>
  <w:footnote w:id="410">
    <w:p w14:paraId="0F82DE97" w14:textId="0BDD041E" w:rsidR="00C13AFA" w:rsidRDefault="00C13AFA">
      <w:pPr>
        <w:pStyle w:val="ad"/>
      </w:pPr>
      <w:r>
        <w:rPr>
          <w:rStyle w:val="ae"/>
        </w:rPr>
        <w:footnoteRef/>
      </w:r>
      <w:r>
        <w:t xml:space="preserve"> </w:t>
      </w:r>
      <w:r w:rsidRPr="00645D20">
        <w:t xml:space="preserve">Compare the detailed critique offered by A </w:t>
      </w:r>
      <w:proofErr w:type="spellStart"/>
      <w:r w:rsidRPr="00645D20">
        <w:t>McColgan</w:t>
      </w:r>
      <w:proofErr w:type="spellEnd"/>
      <w:r w:rsidRPr="00645D20">
        <w:t xml:space="preserve">, ‘Family Friendly FROLICS? The Maternity and Parental </w:t>
      </w:r>
      <w:proofErr w:type="spellStart"/>
      <w:r w:rsidRPr="00645D20">
        <w:t>Leae</w:t>
      </w:r>
      <w:proofErr w:type="spellEnd"/>
      <w:r w:rsidRPr="00645D20">
        <w:t xml:space="preserve"> </w:t>
      </w:r>
      <w:proofErr w:type="spellStart"/>
      <w:r w:rsidRPr="00645D20">
        <w:t>etc</w:t>
      </w:r>
      <w:proofErr w:type="spellEnd"/>
      <w:r w:rsidRPr="00645D20">
        <w:t xml:space="preserve"> Regulations 1999’ (2000) 29 ILJ 125.</w:t>
      </w:r>
    </w:p>
  </w:footnote>
  <w:footnote w:id="411">
    <w:p w14:paraId="3F18F6F1" w14:textId="6188F4DC" w:rsidR="00C13AFA" w:rsidRDefault="00C13AFA">
      <w:pPr>
        <w:pStyle w:val="ad"/>
      </w:pPr>
      <w:r>
        <w:rPr>
          <w:rStyle w:val="ae"/>
        </w:rPr>
        <w:footnoteRef/>
      </w:r>
      <w:r>
        <w:t xml:space="preserve"> </w:t>
      </w:r>
      <w:r w:rsidRPr="00645D20">
        <w:t>The minimum period of maternity leave for which the Regulations provided was eighteen weeks, also the minimum stipulated by the Directive.</w:t>
      </w:r>
    </w:p>
  </w:footnote>
  <w:footnote w:id="412">
    <w:p w14:paraId="22806F6B" w14:textId="127C6942" w:rsidR="00C13AFA" w:rsidRDefault="00C13AFA">
      <w:pPr>
        <w:pStyle w:val="ad"/>
      </w:pPr>
      <w:r>
        <w:rPr>
          <w:rStyle w:val="ae"/>
        </w:rPr>
        <w:footnoteRef/>
      </w:r>
      <w:r>
        <w:t xml:space="preserve"> </w:t>
      </w:r>
      <w:r w:rsidRPr="00645D20">
        <w:t>Paul Davies and Mark Freedland, TOWARDS A FLEXIBLE LABOUR MARKET, Oxford University Press, 2007, p. 53.</w:t>
      </w:r>
    </w:p>
  </w:footnote>
  <w:footnote w:id="413">
    <w:p w14:paraId="46B235E5" w14:textId="13421B07" w:rsidR="00C13AFA" w:rsidRDefault="00C13AFA">
      <w:pPr>
        <w:pStyle w:val="ad"/>
      </w:pPr>
      <w:r>
        <w:rPr>
          <w:rStyle w:val="ae"/>
        </w:rPr>
        <w:footnoteRef/>
      </w:r>
      <w:r>
        <w:t xml:space="preserve"> </w:t>
      </w:r>
      <w:r w:rsidRPr="00645D20">
        <w:t>Paul Davies and Mark Freedland, TOWARDS A FLEXIBLE LABOUR MARKET, Oxford University Press, 2007, p. 53.</w:t>
      </w:r>
    </w:p>
  </w:footnote>
  <w:footnote w:id="414">
    <w:p w14:paraId="4983B74E" w14:textId="08D9C33E" w:rsidR="00C13AFA" w:rsidRDefault="00C13AFA">
      <w:pPr>
        <w:pStyle w:val="ad"/>
      </w:pPr>
      <w:r>
        <w:rPr>
          <w:rStyle w:val="ae"/>
        </w:rPr>
        <w:footnoteRef/>
      </w:r>
      <w:r>
        <w:t xml:space="preserve"> </w:t>
      </w:r>
      <w:r w:rsidRPr="00645D20">
        <w:t>Rights Brought Home: The Human Rights Bill Cm 3782 (London: TSO, October 1997).</w:t>
      </w:r>
    </w:p>
  </w:footnote>
  <w:footnote w:id="415">
    <w:p w14:paraId="0D71A5CD" w14:textId="5DE7D2F5" w:rsidR="00C13AFA" w:rsidRDefault="00C13AFA">
      <w:pPr>
        <w:pStyle w:val="ad"/>
      </w:pPr>
      <w:r>
        <w:rPr>
          <w:rStyle w:val="ae"/>
        </w:rPr>
        <w:footnoteRef/>
      </w:r>
      <w:r>
        <w:t xml:space="preserve"> </w:t>
      </w:r>
      <w:r w:rsidRPr="00645D20">
        <w:t>If so, they might have regarded their aspirations as having been realized by the relatively cautious way in which the Convention rights were admitted into the law of unfair dismissal by the Court of Appeal in X v Y [2004] IRLF 625.</w:t>
      </w:r>
    </w:p>
  </w:footnote>
  <w:footnote w:id="416">
    <w:p w14:paraId="52B3B574" w14:textId="090731E3" w:rsidR="00C13AFA" w:rsidRDefault="00C13AFA">
      <w:pPr>
        <w:pStyle w:val="ad"/>
      </w:pPr>
      <w:r>
        <w:rPr>
          <w:rStyle w:val="ae"/>
        </w:rPr>
        <w:footnoteRef/>
      </w:r>
      <w:r>
        <w:t xml:space="preserve"> </w:t>
      </w:r>
      <w:r w:rsidRPr="00645D20">
        <w:t>Paul Davies and Mark Freedland, TOWARDS A FLEXIBLE LABOUR MARKET, Oxford University Press, 2007, p. 54.</w:t>
      </w:r>
    </w:p>
  </w:footnote>
  <w:footnote w:id="417">
    <w:p w14:paraId="49C31437" w14:textId="220577EB" w:rsidR="00C13AFA" w:rsidRDefault="00C13AFA">
      <w:pPr>
        <w:pStyle w:val="ad"/>
      </w:pPr>
      <w:r>
        <w:rPr>
          <w:rStyle w:val="ae"/>
        </w:rPr>
        <w:footnoteRef/>
      </w:r>
      <w:r>
        <w:t xml:space="preserve"> </w:t>
      </w:r>
      <w:r w:rsidRPr="00645D20">
        <w:t>Paul Davies and Mark Freedland, TOWARDS A FLEXIBLE LABOUR MARKET, Oxford University Press, 2007, p. 54.</w:t>
      </w:r>
    </w:p>
  </w:footnote>
  <w:footnote w:id="418">
    <w:p w14:paraId="22DEDBCE" w14:textId="63A5720F" w:rsidR="00C13AFA" w:rsidRDefault="00C13AFA">
      <w:pPr>
        <w:pStyle w:val="ad"/>
      </w:pPr>
      <w:r>
        <w:rPr>
          <w:rStyle w:val="ae"/>
        </w:rPr>
        <w:footnoteRef/>
      </w:r>
      <w:r>
        <w:t xml:space="preserve"> </w:t>
      </w:r>
      <w:r w:rsidRPr="00645D20">
        <w:t xml:space="preserve">This set of arguments, as applied in the </w:t>
      </w:r>
      <w:proofErr w:type="gramStart"/>
      <w:r w:rsidRPr="00645D20">
        <w:t>particular context</w:t>
      </w:r>
      <w:proofErr w:type="gramEnd"/>
      <w:r w:rsidRPr="00645D20">
        <w:t xml:space="preserve"> of protection of ‘whistle blowing’, is very usefully presented and </w:t>
      </w:r>
      <w:proofErr w:type="spellStart"/>
      <w:r w:rsidRPr="00645D20">
        <w:t>analysed</w:t>
      </w:r>
      <w:proofErr w:type="spellEnd"/>
      <w:r w:rsidRPr="00645D20">
        <w:t xml:space="preserve"> by L Vickers, Freedom of Speech and Employment (Oxford: OUP, 2002) at pp 29-36.</w:t>
      </w:r>
    </w:p>
  </w:footnote>
  <w:footnote w:id="419">
    <w:p w14:paraId="59173726" w14:textId="3D939CF5" w:rsidR="00C13AFA" w:rsidRDefault="00C13AFA">
      <w:pPr>
        <w:pStyle w:val="ad"/>
      </w:pPr>
      <w:r>
        <w:rPr>
          <w:rStyle w:val="ae"/>
        </w:rPr>
        <w:footnoteRef/>
      </w:r>
      <w:r>
        <w:t xml:space="preserve"> </w:t>
      </w:r>
      <w:r w:rsidRPr="00645D20">
        <w:t>Paul Davies and Mark Freedland, TOWARDS A FLEXIBLE LABOUR MARKET, Oxford University Press, 2007, p. 54.</w:t>
      </w:r>
    </w:p>
  </w:footnote>
  <w:footnote w:id="420">
    <w:p w14:paraId="48382D63" w14:textId="2BA40B2B" w:rsidR="00C13AFA" w:rsidRDefault="00C13AFA">
      <w:pPr>
        <w:pStyle w:val="ad"/>
      </w:pPr>
      <w:r>
        <w:rPr>
          <w:rStyle w:val="ae"/>
        </w:rPr>
        <w:footnoteRef/>
      </w:r>
      <w:r>
        <w:t xml:space="preserve"> </w:t>
      </w:r>
      <w:r w:rsidRPr="00645D20">
        <w:t xml:space="preserve">Directive 95/46/EC of the European Parliament and of the Council of 24 October 1995 on the protection of individuals </w:t>
      </w:r>
      <w:proofErr w:type="gramStart"/>
      <w:r w:rsidRPr="00645D20">
        <w:t>with regard to</w:t>
      </w:r>
      <w:proofErr w:type="gramEnd"/>
      <w:r w:rsidRPr="00645D20">
        <w:t xml:space="preserve"> the processing of personal data and on the free movement of such data (OJ 1995 L281/31, 23 November 1995).</w:t>
      </w:r>
    </w:p>
  </w:footnote>
  <w:footnote w:id="421">
    <w:p w14:paraId="3D173C58" w14:textId="6DDC38E6" w:rsidR="00C13AFA" w:rsidRDefault="00C13AFA">
      <w:pPr>
        <w:pStyle w:val="ad"/>
      </w:pPr>
      <w:r>
        <w:rPr>
          <w:rStyle w:val="ae"/>
        </w:rPr>
        <w:footnoteRef/>
      </w:r>
      <w:r>
        <w:t xml:space="preserve"> </w:t>
      </w:r>
      <w:r w:rsidRPr="00645D20">
        <w:t>J D R Craig, Privacy in Employment Law (Oxford and Portland Oregon: Hart Publishing, 1999) at p 238.</w:t>
      </w:r>
    </w:p>
  </w:footnote>
  <w:footnote w:id="422">
    <w:p w14:paraId="7762EDEF" w14:textId="02086AEC" w:rsidR="00C13AFA" w:rsidRDefault="00C13AFA">
      <w:pPr>
        <w:pStyle w:val="ad"/>
      </w:pPr>
      <w:r>
        <w:rPr>
          <w:rStyle w:val="ae"/>
        </w:rPr>
        <w:footnoteRef/>
      </w:r>
      <w:r>
        <w:t xml:space="preserve"> </w:t>
      </w:r>
      <w:r w:rsidRPr="00674826">
        <w:t>G Morris, ‘Fundamental Rights: Exclusion by Agreement?’ (2001) 30 ILJ 49 especially at 61-65; H Oliver, ‘E-mail and Internet Monitoring in the Workplace; Information Privacy and Contracting-Out’ (2002) 31 ILJ 321, especially at 330-334.</w:t>
      </w:r>
    </w:p>
  </w:footnote>
  <w:footnote w:id="423">
    <w:p w14:paraId="45213344" w14:textId="2FF8D176" w:rsidR="00C13AFA" w:rsidRDefault="00C13AFA">
      <w:pPr>
        <w:pStyle w:val="ad"/>
      </w:pPr>
      <w:r>
        <w:rPr>
          <w:rStyle w:val="ae"/>
        </w:rPr>
        <w:footnoteRef/>
      </w:r>
      <w:r>
        <w:t xml:space="preserve"> </w:t>
      </w:r>
      <w:r w:rsidRPr="00674826">
        <w:t>Paul Davies and Mark Freedland, TOWARDS A FLEXIBLE LABOUR MARKET, Oxford University Press, 2007, p. 55.</w:t>
      </w:r>
    </w:p>
  </w:footnote>
  <w:footnote w:id="424">
    <w:p w14:paraId="2C89705B" w14:textId="105082F6" w:rsidR="00C13AFA" w:rsidRDefault="00C13AFA">
      <w:pPr>
        <w:pStyle w:val="ad"/>
      </w:pPr>
      <w:r>
        <w:rPr>
          <w:rStyle w:val="ae"/>
        </w:rPr>
        <w:footnoteRef/>
      </w:r>
      <w:r>
        <w:t xml:space="preserve"> </w:t>
      </w:r>
      <w:r w:rsidRPr="00674826">
        <w:t>Council Directive 97/66/EC (OJ L24/1 30 January 1998).</w:t>
      </w:r>
    </w:p>
  </w:footnote>
  <w:footnote w:id="425">
    <w:p w14:paraId="794383D1" w14:textId="70521FB9" w:rsidR="00C13AFA" w:rsidRDefault="00C13AFA">
      <w:pPr>
        <w:pStyle w:val="ad"/>
      </w:pPr>
      <w:r>
        <w:rPr>
          <w:rStyle w:val="ae"/>
        </w:rPr>
        <w:footnoteRef/>
      </w:r>
      <w:r>
        <w:t xml:space="preserve"> </w:t>
      </w:r>
      <w:r w:rsidRPr="00674826">
        <w:t>The Telecommunications (Lawful Business Practice) (Interception of Communications) Regulations 2000, SI 2000/2699.</w:t>
      </w:r>
    </w:p>
  </w:footnote>
  <w:footnote w:id="426">
    <w:p w14:paraId="7298D2C4" w14:textId="16C2EA70" w:rsidR="00C13AFA" w:rsidRDefault="00C13AFA">
      <w:pPr>
        <w:pStyle w:val="ad"/>
      </w:pPr>
      <w:r>
        <w:rPr>
          <w:rStyle w:val="ae"/>
        </w:rPr>
        <w:footnoteRef/>
      </w:r>
      <w:r>
        <w:t xml:space="preserve"> </w:t>
      </w:r>
      <w:r w:rsidRPr="009E5FBA">
        <w:t>This argument is set out and developed more fully by M R Freedland, ‘Privacy, Employment and the Human Rights Act 1998’ in K Ziegler (ed), Privacy and Human Rights in the European Union (Oxford and Portland, Oregon: Hart Publishing)</w:t>
      </w:r>
    </w:p>
  </w:footnote>
  <w:footnote w:id="427">
    <w:p w14:paraId="57073D45" w14:textId="07F76E1C" w:rsidR="00C13AFA" w:rsidRDefault="00C13AFA">
      <w:pPr>
        <w:pStyle w:val="ad"/>
      </w:pPr>
      <w:r>
        <w:rPr>
          <w:rStyle w:val="ae"/>
        </w:rPr>
        <w:footnoteRef/>
      </w:r>
      <w:r>
        <w:t xml:space="preserve"> </w:t>
      </w:r>
      <w:r w:rsidRPr="009E5FBA">
        <w:t xml:space="preserve">Sex Discrimination Act 1975 (hereafter, SDA), s 82(1) defines employment as being ‘under a contract of service or of apprenticeship or a contract personally to execute any work or </w:t>
      </w:r>
      <w:proofErr w:type="spellStart"/>
      <w:r w:rsidRPr="009E5FBA">
        <w:t>labour</w:t>
      </w:r>
      <w:proofErr w:type="spellEnd"/>
      <w:r w:rsidRPr="009E5FBA">
        <w:t>’; similarly Race Relations Act 1976 (hereafter RRA), s 78(1), Equal Pay Act 1970s 1(6)(a), and Disability Discrimination Act 1995 (DDA) s 68(1).</w:t>
      </w:r>
    </w:p>
  </w:footnote>
  <w:footnote w:id="428">
    <w:p w14:paraId="3A44A777" w14:textId="6F9D8901" w:rsidR="00C13AFA" w:rsidRDefault="00C13AFA">
      <w:pPr>
        <w:pStyle w:val="ad"/>
      </w:pPr>
      <w:r>
        <w:rPr>
          <w:rStyle w:val="ae"/>
        </w:rPr>
        <w:footnoteRef/>
      </w:r>
      <w:r>
        <w:t xml:space="preserve"> </w:t>
      </w:r>
      <w:r w:rsidRPr="009E5FBA">
        <w:t xml:space="preserve">See, for a more detailed discussion, P L Davies and M R Freedland, ‘Employees, Workers and the Autonomy of </w:t>
      </w:r>
      <w:proofErr w:type="spellStart"/>
      <w:r w:rsidRPr="009E5FBA">
        <w:t>Labour</w:t>
      </w:r>
      <w:proofErr w:type="spellEnd"/>
      <w:r w:rsidRPr="009E5FBA">
        <w:t xml:space="preserve"> Law’ in H Collins, P Davies, and R Rideout (eds), Legal Regulation of the Employment Relation (London: Kluwer, 2000)</w:t>
      </w:r>
    </w:p>
  </w:footnote>
  <w:footnote w:id="429">
    <w:p w14:paraId="72EA9D34" w14:textId="62FEA1E2" w:rsidR="00C13AFA" w:rsidRDefault="00C13AFA">
      <w:pPr>
        <w:pStyle w:val="ad"/>
      </w:pPr>
      <w:r>
        <w:rPr>
          <w:rStyle w:val="ae"/>
        </w:rPr>
        <w:footnoteRef/>
      </w:r>
      <w:r>
        <w:t xml:space="preserve"> </w:t>
      </w:r>
      <w:r w:rsidRPr="009E5FBA">
        <w:t>The Working Time Directive used the term ‘worker’ throughout without defining or elaborating upon it; the Young Workers Directive, Art 2.1 stated that the Directive applied to ‘any person under 18 years of age having an employment contract or an employment relationship defined by the law in force in a Member State and/or governed by the law in force in a Member State’.</w:t>
      </w:r>
    </w:p>
  </w:footnote>
  <w:footnote w:id="430">
    <w:p w14:paraId="49E3DC7B" w14:textId="434ED263" w:rsidR="00C13AFA" w:rsidRDefault="00C13AFA">
      <w:pPr>
        <w:pStyle w:val="ad"/>
      </w:pPr>
      <w:r>
        <w:rPr>
          <w:rStyle w:val="ae"/>
        </w:rPr>
        <w:footnoteRef/>
      </w:r>
      <w:r>
        <w:t xml:space="preserve"> </w:t>
      </w:r>
      <w:r w:rsidRPr="009E5FBA">
        <w:t>Fairness at Work, Cm 3968, para 3.17. (London: TSO, May 1998).</w:t>
      </w:r>
    </w:p>
  </w:footnote>
  <w:footnote w:id="431">
    <w:p w14:paraId="409BAC06" w14:textId="3465F122" w:rsidR="00C13AFA" w:rsidRDefault="00C13AFA">
      <w:pPr>
        <w:pStyle w:val="ad"/>
      </w:pPr>
      <w:r>
        <w:rPr>
          <w:rStyle w:val="ae"/>
        </w:rPr>
        <w:footnoteRef/>
      </w:r>
      <w:r>
        <w:t xml:space="preserve"> </w:t>
      </w:r>
      <w:r w:rsidRPr="009E5FBA">
        <w:t>Fairness at Work, Cm 3968, para 3.18. (London: TSO, May 1998).</w:t>
      </w:r>
    </w:p>
  </w:footnote>
  <w:footnote w:id="432">
    <w:p w14:paraId="2FD6187E" w14:textId="69C69326" w:rsidR="00C13AFA" w:rsidRDefault="00C13AFA">
      <w:pPr>
        <w:pStyle w:val="ad"/>
      </w:pPr>
      <w:r>
        <w:rPr>
          <w:rStyle w:val="ae"/>
        </w:rPr>
        <w:footnoteRef/>
      </w:r>
      <w:r>
        <w:t xml:space="preserve"> </w:t>
      </w:r>
      <w:r w:rsidRPr="009E5FBA">
        <w:t xml:space="preserve">Section 23. A very useful account of contemporary views about the extend and appropriate use of those powers is provided by S Deakin and G Morris, </w:t>
      </w:r>
      <w:proofErr w:type="spellStart"/>
      <w:r w:rsidRPr="009E5FBA">
        <w:t>Labour</w:t>
      </w:r>
      <w:proofErr w:type="spellEnd"/>
      <w:r w:rsidRPr="009E5FBA">
        <w:t xml:space="preserve"> Law (4th </w:t>
      </w:r>
      <w:proofErr w:type="spellStart"/>
      <w:r w:rsidRPr="009E5FBA">
        <w:t>edn</w:t>
      </w:r>
      <w:proofErr w:type="spellEnd"/>
      <w:r w:rsidRPr="009E5FBA">
        <w:t>, Oxford: Hart Publishing, 2005) at 3.72.</w:t>
      </w:r>
    </w:p>
  </w:footnote>
  <w:footnote w:id="433">
    <w:p w14:paraId="68CF34CA" w14:textId="3836B1A6" w:rsidR="00C13AFA" w:rsidRDefault="00C13AFA">
      <w:pPr>
        <w:pStyle w:val="ad"/>
      </w:pPr>
      <w:r>
        <w:rPr>
          <w:rStyle w:val="ae"/>
        </w:rPr>
        <w:footnoteRef/>
      </w:r>
      <w:r>
        <w:t xml:space="preserve"> </w:t>
      </w:r>
      <w:r w:rsidRPr="009E5FBA">
        <w:t>A Discussion Document on this question was published by the Department of Trade and Industry of a Summary of Responses to the Employment Status Review in March 2006 (URN 06/1050).</w:t>
      </w:r>
    </w:p>
  </w:footnote>
  <w:footnote w:id="434">
    <w:p w14:paraId="59902749" w14:textId="7988B30B" w:rsidR="00C13AFA" w:rsidRDefault="00C13AFA">
      <w:pPr>
        <w:pStyle w:val="ad"/>
      </w:pPr>
      <w:r>
        <w:rPr>
          <w:rStyle w:val="ae"/>
        </w:rPr>
        <w:footnoteRef/>
      </w:r>
      <w:r>
        <w:t xml:space="preserve"> </w:t>
      </w:r>
      <w:r w:rsidRPr="009E5FBA">
        <w:t>Council Directive 97/81/EC of 15 December 1997 concerning the Framework Agreement on part-time work concluded by Union of Industrial and Employers’ Confederations of Europe, European Centre of Enterprises with Public Participation and of Enterprises of General Economic Interest, and the European Trade Union Confederation (OJ 1998 L014/9, 20 January 1998).</w:t>
      </w:r>
    </w:p>
  </w:footnote>
  <w:footnote w:id="435">
    <w:p w14:paraId="71C1513A" w14:textId="7EEC04D3" w:rsidR="00C13AFA" w:rsidRDefault="00C13AFA">
      <w:pPr>
        <w:pStyle w:val="ad"/>
      </w:pPr>
      <w:r>
        <w:rPr>
          <w:rStyle w:val="ae"/>
        </w:rPr>
        <w:footnoteRef/>
      </w:r>
      <w:r>
        <w:t xml:space="preserve"> </w:t>
      </w:r>
      <w:r w:rsidRPr="009E5FBA">
        <w:t>This Directive was in fact followed in 1999 by the Fixed-term Work Directive but further proposals for a Temporary (Agency) Workers Directive continued to prove unsuccessful throughout the first and second Blair governments.</w:t>
      </w:r>
    </w:p>
  </w:footnote>
  <w:footnote w:id="436">
    <w:p w14:paraId="25055FAD" w14:textId="63C9E7C6" w:rsidR="00C13AFA" w:rsidRDefault="00C13AFA">
      <w:pPr>
        <w:pStyle w:val="ad"/>
      </w:pPr>
      <w:r>
        <w:rPr>
          <w:rStyle w:val="ae"/>
        </w:rPr>
        <w:footnoteRef/>
      </w:r>
      <w:r>
        <w:t xml:space="preserve"> </w:t>
      </w:r>
      <w:r w:rsidRPr="009E5FBA">
        <w:t>Paul Davies and Mark Freedland, TOWARDS A FLEXIBLE LABOUR MARKET, Oxford University Press, 2007, p. 57.</w:t>
      </w:r>
    </w:p>
  </w:footnote>
  <w:footnote w:id="437">
    <w:p w14:paraId="1CAE395F" w14:textId="5BCC05C5" w:rsidR="00C13AFA" w:rsidRDefault="00C13AFA">
      <w:pPr>
        <w:pStyle w:val="ad"/>
      </w:pPr>
      <w:r>
        <w:rPr>
          <w:rStyle w:val="ae"/>
        </w:rPr>
        <w:footnoteRef/>
      </w:r>
      <w:r>
        <w:t xml:space="preserve"> </w:t>
      </w:r>
      <w:r w:rsidRPr="009E5FBA">
        <w:t xml:space="preserve">See DTI News Release P/2000/305 of 3 May 2000, ‘More People to Reap Benefits of Working Part-time’ – </w:t>
      </w:r>
      <w:proofErr w:type="spellStart"/>
      <w:r w:rsidRPr="009E5FBA">
        <w:t>Mr</w:t>
      </w:r>
      <w:proofErr w:type="spellEnd"/>
      <w:r w:rsidRPr="009E5FBA">
        <w:t xml:space="preserve"> Stephen Byers, Secretary of State for Trade and Industry.</w:t>
      </w:r>
    </w:p>
  </w:footnote>
  <w:footnote w:id="438">
    <w:p w14:paraId="613FBE14" w14:textId="36897989" w:rsidR="00C13AFA" w:rsidRDefault="00C13AFA">
      <w:pPr>
        <w:pStyle w:val="ad"/>
      </w:pPr>
      <w:r>
        <w:rPr>
          <w:rStyle w:val="ae"/>
        </w:rPr>
        <w:footnoteRef/>
      </w:r>
      <w:r>
        <w:t xml:space="preserve"> </w:t>
      </w:r>
      <w:r w:rsidRPr="009E5FBA">
        <w:t>SI 2000/1551, Reg 2(3)-(4).</w:t>
      </w:r>
    </w:p>
  </w:footnote>
  <w:footnote w:id="439">
    <w:p w14:paraId="7F0FC9A3" w14:textId="7F60E980" w:rsidR="00C13AFA" w:rsidRDefault="00C13AFA">
      <w:pPr>
        <w:pStyle w:val="ad"/>
      </w:pPr>
      <w:r>
        <w:rPr>
          <w:rStyle w:val="ae"/>
        </w:rPr>
        <w:footnoteRef/>
      </w:r>
      <w:r>
        <w:t xml:space="preserve"> </w:t>
      </w:r>
      <w:r w:rsidRPr="009E5FBA">
        <w:t>Into the sub-categories of: ‘(a) employees employed under a contract that is neither for a fixed term nor a contract of apprenticeship; (b) employees employed under a contract for a fixed term that is not a contract of apprenticeship; (c) employees employed under a contract of apprenticeship; (d) workers who are neither employees nor employed under a contract for a fixed term; (e) workers who are not employees but are employed under a contract for a fixed term, (f) any other description of work that it is reasonable for the employer to treat differently from other workers on the ground that workers of that description have a different type of contract’. This Regulation originally included a distinction between fixed-term workers and other workers, but that distinction was removed by SI 2002/2035, Reg 2(a).</w:t>
      </w:r>
    </w:p>
  </w:footnote>
  <w:footnote w:id="440">
    <w:p w14:paraId="77723307" w14:textId="33D0F25E" w:rsidR="00C13AFA" w:rsidRDefault="00C13AFA">
      <w:pPr>
        <w:pStyle w:val="ad"/>
      </w:pPr>
      <w:r>
        <w:rPr>
          <w:rStyle w:val="ae"/>
        </w:rPr>
        <w:footnoteRef/>
      </w:r>
      <w:r>
        <w:t xml:space="preserve"> </w:t>
      </w:r>
      <w:r w:rsidRPr="009E5FBA">
        <w:t xml:space="preserve">This provision is </w:t>
      </w:r>
      <w:proofErr w:type="spellStart"/>
      <w:r w:rsidRPr="009E5FBA">
        <w:t>analysed</w:t>
      </w:r>
      <w:proofErr w:type="spellEnd"/>
      <w:r w:rsidRPr="009E5FBA">
        <w:t xml:space="preserve"> and criticized in detail by A </w:t>
      </w:r>
      <w:proofErr w:type="spellStart"/>
      <w:r w:rsidRPr="009E5FBA">
        <w:t>McColgan</w:t>
      </w:r>
      <w:proofErr w:type="spellEnd"/>
      <w:r w:rsidRPr="009E5FBA">
        <w:t xml:space="preserve">, ‘Missing the Point? The Part-time Workers (Prevention of Less </w:t>
      </w:r>
      <w:proofErr w:type="spellStart"/>
      <w:r w:rsidRPr="009E5FBA">
        <w:t>Favourable</w:t>
      </w:r>
      <w:proofErr w:type="spellEnd"/>
      <w:r w:rsidRPr="009E5FBA">
        <w:t xml:space="preserve"> Treatment) Regulations 2000 SI 2000 No 1551’ (2000) 29 ILJ 260 at 263-264, C Kilpatrick and M R Freedland, ‘The United Kingdom: How is EU Governance Transformative? </w:t>
      </w:r>
      <w:proofErr w:type="gramStart"/>
      <w:r w:rsidRPr="009E5FBA">
        <w:t xml:space="preserve">In  </w:t>
      </w:r>
      <w:proofErr w:type="spellStart"/>
      <w:r w:rsidRPr="009E5FBA">
        <w:t>Sciarra</w:t>
      </w:r>
      <w:proofErr w:type="spellEnd"/>
      <w:proofErr w:type="gramEnd"/>
      <w:r w:rsidRPr="009E5FBA">
        <w:t>, P L Davies, and M R Freedland (eds), Employment Policy and the Regulation of Part-time Work in the European Union (Cambridge: Cambridge University Press, 2004) at 322-328.</w:t>
      </w:r>
    </w:p>
  </w:footnote>
  <w:footnote w:id="441">
    <w:p w14:paraId="24B43EBB" w14:textId="377F8E2F" w:rsidR="00C13AFA" w:rsidRDefault="00C13AFA">
      <w:pPr>
        <w:pStyle w:val="ad"/>
      </w:pPr>
      <w:r>
        <w:rPr>
          <w:rStyle w:val="ae"/>
        </w:rPr>
        <w:footnoteRef/>
      </w:r>
      <w:r>
        <w:t xml:space="preserve"> </w:t>
      </w:r>
      <w:r w:rsidRPr="009E5FBA">
        <w:t>Paul Davies and Mark Freedland, TOWARDS A FLEXIBLE LABOUR MARKET, Oxford University Press, 2007, p. 58.</w:t>
      </w:r>
    </w:p>
  </w:footnote>
  <w:footnote w:id="442">
    <w:p w14:paraId="5FB120E5" w14:textId="0A6E7F64" w:rsidR="00C13AFA" w:rsidRDefault="00C13AFA">
      <w:pPr>
        <w:pStyle w:val="ad"/>
      </w:pPr>
      <w:r>
        <w:rPr>
          <w:rStyle w:val="ae"/>
        </w:rPr>
        <w:footnoteRef/>
      </w:r>
      <w:r>
        <w:t xml:space="preserve"> </w:t>
      </w:r>
      <w:r w:rsidRPr="009E5FBA">
        <w:t>Paul Davies and Mark Freedland, TOWARDS A FLEXIBLE LABOUR MARKET, Oxford University Press, 2007, p. 60.</w:t>
      </w:r>
    </w:p>
  </w:footnote>
  <w:footnote w:id="443">
    <w:p w14:paraId="2D996071" w14:textId="1F6D12DC" w:rsidR="00C13AFA" w:rsidRDefault="00C13AFA">
      <w:pPr>
        <w:pStyle w:val="ad"/>
      </w:pPr>
      <w:r>
        <w:rPr>
          <w:rStyle w:val="ae"/>
        </w:rPr>
        <w:footnoteRef/>
      </w:r>
      <w:r>
        <w:t xml:space="preserve"> </w:t>
      </w:r>
      <w:r w:rsidRPr="009E5FBA">
        <w:t>Paul Davies and Mark Freedland, TOWARDS A FLEXIBLE LABOUR MARKET, Oxford University Press, 2007, p. 60.</w:t>
      </w:r>
    </w:p>
  </w:footnote>
  <w:footnote w:id="444">
    <w:p w14:paraId="00072508" w14:textId="65840C57" w:rsidR="00C13AFA" w:rsidRDefault="00C13AFA">
      <w:pPr>
        <w:pStyle w:val="ad"/>
      </w:pPr>
      <w:r>
        <w:rPr>
          <w:rStyle w:val="ae"/>
        </w:rPr>
        <w:footnoteRef/>
      </w:r>
      <w:r>
        <w:t xml:space="preserve"> </w:t>
      </w:r>
      <w:r w:rsidRPr="009E5FBA">
        <w:t>Paul Davies and Mark Freedland, TOWARDS A FLEXIBLE LABOUR MARKET, Oxford University Press, 2007, p. 61.</w:t>
      </w:r>
    </w:p>
  </w:footnote>
  <w:footnote w:id="445">
    <w:p w14:paraId="32A5154C" w14:textId="5B97272C" w:rsidR="00C13AFA" w:rsidRDefault="00C13AFA">
      <w:pPr>
        <w:pStyle w:val="ad"/>
      </w:pPr>
      <w:r>
        <w:rPr>
          <w:rStyle w:val="ae"/>
        </w:rPr>
        <w:footnoteRef/>
      </w:r>
      <w:r>
        <w:t xml:space="preserve"> </w:t>
      </w:r>
      <w:r w:rsidRPr="009E5FBA">
        <w:t>Paul Davies and Mark Freedland, TOWARDS A FLEXIBLE LABOUR MARKET, Oxford University Press, 2007, p. 61.</w:t>
      </w:r>
    </w:p>
  </w:footnote>
  <w:footnote w:id="446">
    <w:p w14:paraId="16FF5E2F" w14:textId="1A64EBB6" w:rsidR="00C13AFA" w:rsidRDefault="00C13AFA">
      <w:pPr>
        <w:pStyle w:val="ad"/>
      </w:pPr>
      <w:r>
        <w:rPr>
          <w:rStyle w:val="ae"/>
        </w:rPr>
        <w:footnoteRef/>
      </w:r>
      <w:r>
        <w:t xml:space="preserve"> </w:t>
      </w:r>
      <w:r w:rsidRPr="009E5FBA">
        <w:t>Department of Trade and Industry 11 July 2002 URN 02/1051.</w:t>
      </w:r>
    </w:p>
  </w:footnote>
  <w:footnote w:id="447">
    <w:p w14:paraId="1F0C862F" w14:textId="57118364" w:rsidR="00C13AFA" w:rsidRDefault="00C13AFA">
      <w:pPr>
        <w:pStyle w:val="ad"/>
      </w:pPr>
      <w:r>
        <w:rPr>
          <w:rStyle w:val="ae"/>
        </w:rPr>
        <w:footnoteRef/>
      </w:r>
      <w:r>
        <w:t xml:space="preserve"> </w:t>
      </w:r>
      <w:r w:rsidRPr="009E5FBA">
        <w:t xml:space="preserve">Compare D </w:t>
      </w:r>
      <w:proofErr w:type="spellStart"/>
      <w:r w:rsidRPr="009E5FBA">
        <w:t>Ashinagbor</w:t>
      </w:r>
      <w:proofErr w:type="spellEnd"/>
      <w:r w:rsidRPr="009E5FBA">
        <w:t>, The European Employment Strategy (Oxford: OUP, 2005) at chapter 4 and especially pp 178-185 for a detailed critique of the main policy documents in which the strategy was presented.</w:t>
      </w:r>
    </w:p>
  </w:footnote>
  <w:footnote w:id="448">
    <w:p w14:paraId="0ECF87A7" w14:textId="6724677F" w:rsidR="00C13AFA" w:rsidRDefault="00C13AFA">
      <w:pPr>
        <w:pStyle w:val="ad"/>
      </w:pPr>
      <w:r>
        <w:rPr>
          <w:rStyle w:val="ae"/>
        </w:rPr>
        <w:footnoteRef/>
      </w:r>
      <w:r>
        <w:t xml:space="preserve"> </w:t>
      </w:r>
      <w:r w:rsidRPr="009E5FBA">
        <w:t>Paul Davies and Mark Freedland, TOWARDS A FLEXIBLE LABOUR MARKET, Oxford University Press, 2007, p. 61.</w:t>
      </w:r>
    </w:p>
  </w:footnote>
  <w:footnote w:id="449">
    <w:p w14:paraId="721D6A02" w14:textId="6836832E" w:rsidR="00C13AFA" w:rsidRDefault="00C13AFA">
      <w:pPr>
        <w:pStyle w:val="ad"/>
      </w:pPr>
      <w:r>
        <w:rPr>
          <w:rStyle w:val="ae"/>
        </w:rPr>
        <w:footnoteRef/>
      </w:r>
      <w:r>
        <w:t xml:space="preserve"> </w:t>
      </w:r>
      <w:r w:rsidRPr="009E5FBA">
        <w:t>Cm 5005 (London: TSO, December 2000).</w:t>
      </w:r>
    </w:p>
  </w:footnote>
  <w:footnote w:id="450">
    <w:p w14:paraId="1E87E427" w14:textId="1CD3010C" w:rsidR="00C13AFA" w:rsidRDefault="00C13AFA">
      <w:pPr>
        <w:pStyle w:val="ad"/>
      </w:pPr>
      <w:r>
        <w:rPr>
          <w:rStyle w:val="ae"/>
        </w:rPr>
        <w:footnoteRef/>
      </w:r>
      <w:r>
        <w:t xml:space="preserve"> </w:t>
      </w:r>
      <w:r w:rsidRPr="009E5FBA">
        <w:t>Department of Trade and Industry, July 2001.</w:t>
      </w:r>
    </w:p>
  </w:footnote>
  <w:footnote w:id="451">
    <w:p w14:paraId="7ECDC614" w14:textId="61723A0E" w:rsidR="00C13AFA" w:rsidRDefault="00C13AFA">
      <w:pPr>
        <w:pStyle w:val="ad"/>
      </w:pPr>
      <w:r>
        <w:rPr>
          <w:rStyle w:val="ae"/>
        </w:rPr>
        <w:footnoteRef/>
      </w:r>
      <w:r>
        <w:t xml:space="preserve"> </w:t>
      </w:r>
      <w:r w:rsidRPr="009E5FBA">
        <w:t>Department of Trade and Industry, 11 July 2002, URN 02/917.</w:t>
      </w:r>
    </w:p>
  </w:footnote>
  <w:footnote w:id="452">
    <w:p w14:paraId="385AF1D1" w14:textId="4EB4E712" w:rsidR="00C13AFA" w:rsidRDefault="00C13AFA">
      <w:pPr>
        <w:pStyle w:val="ad"/>
      </w:pPr>
      <w:r>
        <w:rPr>
          <w:rStyle w:val="ae"/>
        </w:rPr>
        <w:footnoteRef/>
      </w:r>
      <w:r>
        <w:t xml:space="preserve"> </w:t>
      </w:r>
      <w:r w:rsidRPr="009E5FBA">
        <w:t>Paul Davies and Mark Freedland, TOWARDS A FLEXIBLE LABOUR MARKET, Oxford University Press, 2007, p. 62.</w:t>
      </w:r>
    </w:p>
  </w:footnote>
  <w:footnote w:id="453">
    <w:p w14:paraId="6BB6A623" w14:textId="39A12688" w:rsidR="00C13AFA" w:rsidRDefault="00C13AFA">
      <w:pPr>
        <w:pStyle w:val="ad"/>
      </w:pPr>
      <w:r>
        <w:rPr>
          <w:rStyle w:val="ae"/>
        </w:rPr>
        <w:footnoteRef/>
      </w:r>
      <w:r>
        <w:t xml:space="preserve"> </w:t>
      </w:r>
      <w:r w:rsidRPr="009E5FBA">
        <w:t>London: Office of Public Service Reform, 2002.</w:t>
      </w:r>
    </w:p>
  </w:footnote>
  <w:footnote w:id="454">
    <w:p w14:paraId="2B7C68A7" w14:textId="727B80B1" w:rsidR="00C13AFA" w:rsidRDefault="00C13AFA">
      <w:pPr>
        <w:pStyle w:val="ad"/>
      </w:pPr>
      <w:r>
        <w:rPr>
          <w:rStyle w:val="ae"/>
        </w:rPr>
        <w:footnoteRef/>
      </w:r>
      <w:r>
        <w:t xml:space="preserve"> </w:t>
      </w:r>
      <w:r w:rsidRPr="009E5FBA">
        <w:t>Paul Davies and Mark Freedland, TOWARDS A FLEXIBLE LABOUR MARKET, Oxford University Press, 2007, p. 62.</w:t>
      </w:r>
    </w:p>
  </w:footnote>
  <w:footnote w:id="455">
    <w:p w14:paraId="353891E5" w14:textId="5BF58301" w:rsidR="00C13AFA" w:rsidRDefault="00C13AFA">
      <w:pPr>
        <w:pStyle w:val="ad"/>
      </w:pPr>
      <w:r>
        <w:rPr>
          <w:rStyle w:val="ae"/>
        </w:rPr>
        <w:footnoteRef/>
      </w:r>
      <w:r>
        <w:t xml:space="preserve"> </w:t>
      </w:r>
      <w:r w:rsidRPr="009E5FBA">
        <w:t>Paul Davies and Mark Freedland, TOWARDS A FLEXIBLE LABOUR MARKET, Oxford University Press, 2007, p. 62.</w:t>
      </w:r>
    </w:p>
  </w:footnote>
  <w:footnote w:id="456">
    <w:p w14:paraId="7363E2CE" w14:textId="1F366EBF" w:rsidR="00C13AFA" w:rsidRDefault="00C13AFA">
      <w:pPr>
        <w:pStyle w:val="ad"/>
      </w:pPr>
      <w:r>
        <w:rPr>
          <w:rStyle w:val="ae"/>
        </w:rPr>
        <w:footnoteRef/>
      </w:r>
      <w:r>
        <w:t xml:space="preserve"> </w:t>
      </w:r>
      <w:r w:rsidRPr="009E5FBA">
        <w:t>Section 42- Equal pay questionnaires.</w:t>
      </w:r>
    </w:p>
  </w:footnote>
  <w:footnote w:id="457">
    <w:p w14:paraId="46A3E215" w14:textId="1E3E7350" w:rsidR="00C13AFA" w:rsidRDefault="00C13AFA">
      <w:pPr>
        <w:pStyle w:val="ad"/>
      </w:pPr>
      <w:r>
        <w:rPr>
          <w:rStyle w:val="ae"/>
        </w:rPr>
        <w:footnoteRef/>
      </w:r>
      <w:r>
        <w:t xml:space="preserve"> </w:t>
      </w:r>
      <w:r w:rsidRPr="009E5FBA">
        <w:t>Section 41- Amendment of the power to confer rights on individuals; section 45-fixed-term work.</w:t>
      </w:r>
    </w:p>
  </w:footnote>
  <w:footnote w:id="458">
    <w:p w14:paraId="67AC6629" w14:textId="04E4A21E" w:rsidR="00C13AFA" w:rsidRDefault="00C13AFA">
      <w:pPr>
        <w:pStyle w:val="ad"/>
      </w:pPr>
      <w:r>
        <w:rPr>
          <w:rStyle w:val="ae"/>
        </w:rPr>
        <w:footnoteRef/>
      </w:r>
      <w:r>
        <w:t xml:space="preserve"> </w:t>
      </w:r>
      <w:r w:rsidRPr="009E5FBA">
        <w:t>Paul Davies and Mark Freedland, TOWARDS A FLEXIBLE LABOUR MARKET, Oxford University Press, 2007, p. 63.</w:t>
      </w:r>
    </w:p>
  </w:footnote>
  <w:footnote w:id="459">
    <w:p w14:paraId="2E34C84D" w14:textId="7C4BE4DA" w:rsidR="00C13AFA" w:rsidRDefault="00C13AFA">
      <w:pPr>
        <w:pStyle w:val="ad"/>
      </w:pPr>
      <w:r>
        <w:rPr>
          <w:rStyle w:val="ae"/>
        </w:rPr>
        <w:footnoteRef/>
      </w:r>
      <w:r>
        <w:t xml:space="preserve"> </w:t>
      </w:r>
      <w:r w:rsidRPr="009E5FBA">
        <w:t>Paul Davies and Mark Freedland, TOWARDS A FLEXIBLE LABOUR MARKET, Oxford University Press, 2007, p. 63.</w:t>
      </w:r>
    </w:p>
  </w:footnote>
  <w:footnote w:id="460">
    <w:p w14:paraId="375B8E97" w14:textId="0A8F0440" w:rsidR="00C13AFA" w:rsidRDefault="00C13AFA">
      <w:pPr>
        <w:pStyle w:val="ad"/>
      </w:pPr>
      <w:r>
        <w:rPr>
          <w:rStyle w:val="ae"/>
        </w:rPr>
        <w:footnoteRef/>
      </w:r>
      <w:r>
        <w:t xml:space="preserve"> </w:t>
      </w:r>
      <w:r w:rsidRPr="009E5FBA">
        <w:t>Council Directive 96/34/EC (OJ L145/4, 19 June 1996), implementing the Framework Agreement on Parental Leave of 1995.</w:t>
      </w:r>
    </w:p>
  </w:footnote>
  <w:footnote w:id="461">
    <w:p w14:paraId="3056BD31" w14:textId="52753508" w:rsidR="00C13AFA" w:rsidRDefault="00C13AFA">
      <w:pPr>
        <w:pStyle w:val="ad"/>
      </w:pPr>
      <w:r>
        <w:rPr>
          <w:rStyle w:val="ae"/>
        </w:rPr>
        <w:footnoteRef/>
      </w:r>
      <w:r>
        <w:t xml:space="preserve"> </w:t>
      </w:r>
      <w:r w:rsidRPr="009E5FBA">
        <w:t>Section 1 and Regulations SI 2002/2788-the entitlement given was to two weeks’ leave.</w:t>
      </w:r>
    </w:p>
  </w:footnote>
  <w:footnote w:id="462">
    <w:p w14:paraId="59F4826F" w14:textId="5EE7AC05" w:rsidR="00C13AFA" w:rsidRDefault="00C13AFA">
      <w:pPr>
        <w:pStyle w:val="ad"/>
      </w:pPr>
      <w:r>
        <w:rPr>
          <w:rStyle w:val="ae"/>
        </w:rPr>
        <w:footnoteRef/>
      </w:r>
      <w:r>
        <w:t xml:space="preserve"> </w:t>
      </w:r>
      <w:r w:rsidRPr="009E5FBA">
        <w:t>Section 2 and Regulations SI 2002/2822-again, for two weeks.</w:t>
      </w:r>
    </w:p>
  </w:footnote>
  <w:footnote w:id="463">
    <w:p w14:paraId="55668869" w14:textId="5EEEB6AA" w:rsidR="00C13AFA" w:rsidRDefault="00C13AFA">
      <w:pPr>
        <w:pStyle w:val="ad"/>
      </w:pPr>
      <w:r>
        <w:rPr>
          <w:rStyle w:val="ae"/>
        </w:rPr>
        <w:footnoteRef/>
      </w:r>
      <w:r>
        <w:t xml:space="preserve"> </w:t>
      </w:r>
      <w:r w:rsidRPr="00BE3675">
        <w:t>Section 3 and Regulations SI 2002/2788- the entitlement given was to 26 weeks’ ordinary adoption leave, with the possibility of up to 26 weeks’ additional leave; this corresponded to the entitlement to maternity leave.</w:t>
      </w:r>
    </w:p>
  </w:footnote>
  <w:footnote w:id="464">
    <w:p w14:paraId="526F3417" w14:textId="6CB932E5" w:rsidR="00C13AFA" w:rsidRDefault="00C13AFA">
      <w:pPr>
        <w:pStyle w:val="ad"/>
      </w:pPr>
      <w:r>
        <w:rPr>
          <w:rStyle w:val="ae"/>
        </w:rPr>
        <w:footnoteRef/>
      </w:r>
      <w:r>
        <w:t xml:space="preserve"> </w:t>
      </w:r>
      <w:r w:rsidRPr="00BE3675">
        <w:t>Section 4 and Regulations SI 2002/2822-for up to 26 weeks, again corresponding to maternity pay.</w:t>
      </w:r>
    </w:p>
  </w:footnote>
  <w:footnote w:id="465">
    <w:p w14:paraId="26261E36" w14:textId="10A77855" w:rsidR="00C13AFA" w:rsidRDefault="00C13AFA">
      <w:pPr>
        <w:pStyle w:val="ad"/>
      </w:pPr>
      <w:r>
        <w:rPr>
          <w:rStyle w:val="ae"/>
        </w:rPr>
        <w:footnoteRef/>
      </w:r>
      <w:r>
        <w:t xml:space="preserve"> </w:t>
      </w:r>
      <w:r w:rsidRPr="00BE3675">
        <w:t>Section 17-18, extending both leave and pay from 18 weeks to 26 weeks.</w:t>
      </w:r>
    </w:p>
  </w:footnote>
  <w:footnote w:id="466">
    <w:p w14:paraId="57B0C0DE" w14:textId="4249D5C6" w:rsidR="00C13AFA" w:rsidRDefault="00C13AFA">
      <w:pPr>
        <w:pStyle w:val="ad"/>
      </w:pPr>
      <w:r>
        <w:rPr>
          <w:rStyle w:val="ae"/>
        </w:rPr>
        <w:footnoteRef/>
      </w:r>
      <w:r>
        <w:t xml:space="preserve"> </w:t>
      </w:r>
      <w:r w:rsidRPr="00BE3675">
        <w:t>Cm 5005 (London: TSO, December 2000) para 1.15.</w:t>
      </w:r>
    </w:p>
  </w:footnote>
  <w:footnote w:id="467">
    <w:p w14:paraId="4AB3FB5C" w14:textId="2194B8D1" w:rsidR="00C13AFA" w:rsidRDefault="00C13AFA">
      <w:pPr>
        <w:pStyle w:val="ad"/>
      </w:pPr>
      <w:r>
        <w:rPr>
          <w:rStyle w:val="ae"/>
        </w:rPr>
        <w:footnoteRef/>
      </w:r>
      <w:r>
        <w:t xml:space="preserve"> </w:t>
      </w:r>
      <w:r w:rsidRPr="00BE3675">
        <w:t xml:space="preserve">See a very useful discussion of this point by H Collins in J </w:t>
      </w:r>
      <w:proofErr w:type="spellStart"/>
      <w:r w:rsidRPr="00BE3675">
        <w:t>Conaghan</w:t>
      </w:r>
      <w:proofErr w:type="spellEnd"/>
      <w:r w:rsidRPr="00BE3675">
        <w:t xml:space="preserve"> and K </w:t>
      </w:r>
      <w:proofErr w:type="spellStart"/>
      <w:r w:rsidRPr="00BE3675">
        <w:t>Rittich</w:t>
      </w:r>
      <w:proofErr w:type="spellEnd"/>
      <w:r w:rsidRPr="00BE3675">
        <w:t xml:space="preserve"> (eds), </w:t>
      </w:r>
      <w:proofErr w:type="spellStart"/>
      <w:r w:rsidRPr="00BE3675">
        <w:t>Labour</w:t>
      </w:r>
      <w:proofErr w:type="spellEnd"/>
      <w:r w:rsidRPr="00BE3675">
        <w:t xml:space="preserve"> Law, Work and Family: Critical and Comparative Perspectives (Oxford: OUP, 2005) at 112-115.</w:t>
      </w:r>
    </w:p>
  </w:footnote>
  <w:footnote w:id="468">
    <w:p w14:paraId="58F842A4" w14:textId="70E39CDD" w:rsidR="00C13AFA" w:rsidRDefault="00C13AFA">
      <w:pPr>
        <w:pStyle w:val="ad"/>
      </w:pPr>
      <w:r>
        <w:rPr>
          <w:rStyle w:val="ae"/>
        </w:rPr>
        <w:footnoteRef/>
      </w:r>
      <w:r>
        <w:t xml:space="preserve"> </w:t>
      </w:r>
      <w:r w:rsidRPr="00BE3675">
        <w:t>Paul Davies and Mark Freedland, TOWARDS A FLEXIBLE LABOUR MARKET, Oxford University Press, 2007, p. 64.</w:t>
      </w:r>
    </w:p>
  </w:footnote>
  <w:footnote w:id="469">
    <w:p w14:paraId="54E7F618" w14:textId="4E4CA5EB" w:rsidR="00C13AFA" w:rsidRDefault="00C13AFA">
      <w:pPr>
        <w:pStyle w:val="ad"/>
      </w:pPr>
      <w:r>
        <w:rPr>
          <w:rStyle w:val="ae"/>
        </w:rPr>
        <w:footnoteRef/>
      </w:r>
      <w:r>
        <w:t xml:space="preserve"> </w:t>
      </w:r>
      <w:r w:rsidRPr="00BE3675">
        <w:t>Paul Davies and Mark Freedland, TOWARDS A FLEXIBLE LABOUR MARKET, Oxford University Press, 2007, p. 64-65.</w:t>
      </w:r>
    </w:p>
  </w:footnote>
  <w:footnote w:id="470">
    <w:p w14:paraId="738ECDAF" w14:textId="7E6D8808" w:rsidR="00C13AFA" w:rsidRDefault="00C13AFA">
      <w:pPr>
        <w:pStyle w:val="ad"/>
      </w:pPr>
      <w:r>
        <w:rPr>
          <w:rStyle w:val="ae"/>
        </w:rPr>
        <w:footnoteRef/>
      </w:r>
      <w:r>
        <w:t xml:space="preserve"> </w:t>
      </w:r>
      <w:r w:rsidRPr="00BE3675">
        <w:t>Hansard, HL (series 6) vol 631, col 1369 (26 February 2002).</w:t>
      </w:r>
    </w:p>
  </w:footnote>
  <w:footnote w:id="471">
    <w:p w14:paraId="1755A235" w14:textId="5385D867" w:rsidR="00C13AFA" w:rsidRDefault="00C13AFA">
      <w:pPr>
        <w:pStyle w:val="ad"/>
      </w:pPr>
      <w:r>
        <w:rPr>
          <w:rStyle w:val="ae"/>
        </w:rPr>
        <w:footnoteRef/>
      </w:r>
      <w:r>
        <w:t xml:space="preserve"> </w:t>
      </w:r>
      <w:r w:rsidRPr="00BE3675">
        <w:t xml:space="preserve">B </w:t>
      </w:r>
      <w:proofErr w:type="spellStart"/>
      <w:r w:rsidRPr="00BE3675">
        <w:t>Hepple</w:t>
      </w:r>
      <w:proofErr w:type="spellEnd"/>
      <w:r w:rsidRPr="00BE3675">
        <w:t xml:space="preserve"> and G Morris, ‘The Employment Act 2002 and the Crisis of Individual Employment Rights’ (2002) 31 ILJ 245, Abstract.</w:t>
      </w:r>
    </w:p>
  </w:footnote>
  <w:footnote w:id="472">
    <w:p w14:paraId="06992C75" w14:textId="26F6105B" w:rsidR="00C13AFA" w:rsidRDefault="00C13AFA">
      <w:pPr>
        <w:pStyle w:val="ad"/>
      </w:pPr>
      <w:r>
        <w:rPr>
          <w:rStyle w:val="ae"/>
        </w:rPr>
        <w:footnoteRef/>
      </w:r>
      <w:r>
        <w:t xml:space="preserve"> </w:t>
      </w:r>
      <w:r w:rsidRPr="00BE3675">
        <w:t xml:space="preserve">Compare </w:t>
      </w:r>
      <w:proofErr w:type="spellStart"/>
      <w:r w:rsidRPr="00BE3675">
        <w:t>Labour</w:t>
      </w:r>
      <w:proofErr w:type="spellEnd"/>
      <w:r w:rsidRPr="00BE3675">
        <w:t xml:space="preserve"> Legislation and Public Policy at 555-558, and B </w:t>
      </w:r>
      <w:proofErr w:type="spellStart"/>
      <w:r w:rsidRPr="00BE3675">
        <w:t>Hepple</w:t>
      </w:r>
      <w:proofErr w:type="spellEnd"/>
      <w:r w:rsidRPr="00BE3675">
        <w:t>, ‘The Fall and Rise of Unfair Dismissal’, chapter 2 of W McCarthy (ed), Legal Intervention in Industrial Relations; Gains and Losses (Oxford: Blackwell Publishing, 1992).</w:t>
      </w:r>
    </w:p>
  </w:footnote>
  <w:footnote w:id="473">
    <w:p w14:paraId="2A6A20B9" w14:textId="4F00456C" w:rsidR="00C13AFA" w:rsidRDefault="00C13AFA">
      <w:pPr>
        <w:pStyle w:val="ad"/>
      </w:pPr>
      <w:r>
        <w:rPr>
          <w:rStyle w:val="ae"/>
        </w:rPr>
        <w:footnoteRef/>
      </w:r>
      <w:r>
        <w:t xml:space="preserve"> </w:t>
      </w:r>
      <w:r w:rsidRPr="00BE3675">
        <w:t>The provisions are those of section 47, which inserts a new Part 8A on Flexible Working into the Employment Rights Act 1996.</w:t>
      </w:r>
    </w:p>
  </w:footnote>
  <w:footnote w:id="474">
    <w:p w14:paraId="60D96658" w14:textId="305EEF39" w:rsidR="00C13AFA" w:rsidRDefault="00C13AFA">
      <w:pPr>
        <w:pStyle w:val="ad"/>
      </w:pPr>
      <w:r>
        <w:rPr>
          <w:rStyle w:val="ae"/>
        </w:rPr>
        <w:footnoteRef/>
      </w:r>
      <w:r>
        <w:t xml:space="preserve"> </w:t>
      </w:r>
      <w:r w:rsidRPr="00BE3675">
        <w:t>Paul Davies and Mark Freedland, TOWARDS A FLEXIBLE LABOUR MARKET, Oxford University Press, 2007, p. 67.</w:t>
      </w:r>
    </w:p>
  </w:footnote>
  <w:footnote w:id="475">
    <w:p w14:paraId="082C36BA" w14:textId="0C41713E" w:rsidR="00C13AFA" w:rsidRDefault="00C13AFA">
      <w:pPr>
        <w:pStyle w:val="ad"/>
      </w:pPr>
      <w:r>
        <w:rPr>
          <w:rStyle w:val="ae"/>
        </w:rPr>
        <w:footnoteRef/>
      </w:r>
      <w:r>
        <w:t xml:space="preserve"> </w:t>
      </w:r>
      <w:r w:rsidRPr="00BE3675">
        <w:t>Paul Davies and Mark Freedland, TOWARDS A FLEXIBLE LABOUR MARKET, Oxford University Press, 2007, p. 67.</w:t>
      </w:r>
    </w:p>
  </w:footnote>
  <w:footnote w:id="476">
    <w:p w14:paraId="5B34310B" w14:textId="57DB97CD" w:rsidR="00C13AFA" w:rsidRDefault="00C13AFA">
      <w:pPr>
        <w:pStyle w:val="ad"/>
      </w:pPr>
      <w:r>
        <w:rPr>
          <w:rStyle w:val="ae"/>
        </w:rPr>
        <w:footnoteRef/>
      </w:r>
      <w:r>
        <w:t xml:space="preserve"> </w:t>
      </w:r>
      <w:r w:rsidRPr="00BE3675">
        <w:t>Paul Davies and Mark Freedland, TOWARDS A FLEXIBLE LABOUR MARKET, Oxford University Press, 2007, p. 67.</w:t>
      </w:r>
    </w:p>
  </w:footnote>
  <w:footnote w:id="477">
    <w:p w14:paraId="69689A90" w14:textId="25CEB439" w:rsidR="00C13AFA" w:rsidRDefault="00C13AFA">
      <w:pPr>
        <w:pStyle w:val="ad"/>
      </w:pPr>
      <w:r>
        <w:rPr>
          <w:rStyle w:val="ae"/>
        </w:rPr>
        <w:footnoteRef/>
      </w:r>
      <w:r>
        <w:t xml:space="preserve"> </w:t>
      </w:r>
      <w:r w:rsidRPr="00BE3675">
        <w:t>Paul Davies and Mark Freedland, TOWARDS A FLEXIBLE LABOUR MARKET, Oxford University Press, 2007, p. 68.</w:t>
      </w:r>
    </w:p>
  </w:footnote>
  <w:footnote w:id="478">
    <w:p w14:paraId="7026211F" w14:textId="3F97DD2E" w:rsidR="00C13AFA" w:rsidRDefault="00C13AFA">
      <w:pPr>
        <w:pStyle w:val="ad"/>
      </w:pPr>
      <w:r>
        <w:rPr>
          <w:rStyle w:val="ae"/>
        </w:rPr>
        <w:footnoteRef/>
      </w:r>
      <w:r>
        <w:t xml:space="preserve"> </w:t>
      </w:r>
      <w:r w:rsidRPr="00BE3675">
        <w:t>Paul Davies and Mark Freedland, TOWARDS A FLEXIBLE LABOUR MARKET, Oxford University Press, 2007, p. 68.</w:t>
      </w:r>
    </w:p>
  </w:footnote>
  <w:footnote w:id="479">
    <w:p w14:paraId="301EB8E2" w14:textId="19B574D9" w:rsidR="00C13AFA" w:rsidRDefault="00C13AFA">
      <w:pPr>
        <w:pStyle w:val="ad"/>
      </w:pPr>
      <w:r>
        <w:rPr>
          <w:rStyle w:val="ae"/>
        </w:rPr>
        <w:footnoteRef/>
      </w:r>
      <w:r>
        <w:t xml:space="preserve"> </w:t>
      </w:r>
      <w:r w:rsidRPr="00BE3675">
        <w:t>Paul Davies and Mark Freedland, TOWARDS A FLEXIBLE LABOUR MARKET, Oxford University Press, 2007, p. 68.</w:t>
      </w:r>
    </w:p>
  </w:footnote>
  <w:footnote w:id="480">
    <w:p w14:paraId="19A3BCD3" w14:textId="49A2919E" w:rsidR="00C13AFA" w:rsidRDefault="00C13AFA">
      <w:pPr>
        <w:pStyle w:val="ad"/>
      </w:pPr>
      <w:r>
        <w:rPr>
          <w:rStyle w:val="ae"/>
        </w:rPr>
        <w:footnoteRef/>
      </w:r>
      <w:r>
        <w:t xml:space="preserve"> </w:t>
      </w:r>
      <w:r w:rsidRPr="00BE3675">
        <w:t>Paul Davies and Mark Freedland, TOWARDS A FLEXIBLE LABOUR MARKET, Oxford University Press, 2007, p. 68.</w:t>
      </w:r>
    </w:p>
  </w:footnote>
  <w:footnote w:id="481">
    <w:p w14:paraId="175AC986" w14:textId="69A859FB" w:rsidR="00C13AFA" w:rsidRDefault="00C13AFA">
      <w:pPr>
        <w:pStyle w:val="ad"/>
      </w:pPr>
      <w:r>
        <w:rPr>
          <w:rStyle w:val="ae"/>
        </w:rPr>
        <w:footnoteRef/>
      </w:r>
      <w:r>
        <w:t xml:space="preserve"> </w:t>
      </w:r>
      <w:r w:rsidRPr="00BE3675">
        <w:t xml:space="preserve">New ERA, s 80F. For the subsequent extension to include a wider set of family </w:t>
      </w:r>
      <w:proofErr w:type="spellStart"/>
      <w:r w:rsidRPr="00BE3675">
        <w:t>carers</w:t>
      </w:r>
      <w:proofErr w:type="spellEnd"/>
      <w:r w:rsidRPr="00BE3675">
        <w:t xml:space="preserve">, Section 12 of the 2006 Act, amending </w:t>
      </w:r>
      <w:proofErr w:type="spellStart"/>
      <w:r w:rsidRPr="00BE3675">
        <w:t>new s</w:t>
      </w:r>
      <w:proofErr w:type="spellEnd"/>
      <w:r w:rsidRPr="00BE3675">
        <w:t xml:space="preserve"> 80F of the ERA 1996.</w:t>
      </w:r>
    </w:p>
  </w:footnote>
  <w:footnote w:id="482">
    <w:p w14:paraId="512C093E" w14:textId="4F358062" w:rsidR="00C13AFA" w:rsidRDefault="00C13AFA">
      <w:pPr>
        <w:pStyle w:val="ad"/>
      </w:pPr>
      <w:r>
        <w:rPr>
          <w:rStyle w:val="ae"/>
        </w:rPr>
        <w:footnoteRef/>
      </w:r>
      <w:r>
        <w:t xml:space="preserve"> </w:t>
      </w:r>
      <w:r w:rsidRPr="00BE3675">
        <w:t>S 80G.</w:t>
      </w:r>
    </w:p>
  </w:footnote>
  <w:footnote w:id="483">
    <w:p w14:paraId="2E9A72B6" w14:textId="5E0C332D" w:rsidR="00C13AFA" w:rsidRDefault="00C13AFA">
      <w:pPr>
        <w:pStyle w:val="ad"/>
      </w:pPr>
      <w:r>
        <w:rPr>
          <w:rStyle w:val="ae"/>
        </w:rPr>
        <w:footnoteRef/>
      </w:r>
      <w:r>
        <w:t xml:space="preserve"> </w:t>
      </w:r>
      <w:r w:rsidRPr="00BE3675">
        <w:t>S 80G(1)(b).</w:t>
      </w:r>
    </w:p>
  </w:footnote>
  <w:footnote w:id="484">
    <w:p w14:paraId="21D07298" w14:textId="21301FF8" w:rsidR="00C13AFA" w:rsidRDefault="00C13AFA">
      <w:pPr>
        <w:pStyle w:val="ad"/>
      </w:pPr>
      <w:r>
        <w:rPr>
          <w:rStyle w:val="ae"/>
        </w:rPr>
        <w:footnoteRef/>
      </w:r>
      <w:r>
        <w:t xml:space="preserve"> </w:t>
      </w:r>
      <w:r w:rsidRPr="00BE3675">
        <w:t>S 80G(1)(b)(</w:t>
      </w:r>
      <w:proofErr w:type="spellStart"/>
      <w:r w:rsidRPr="00BE3675">
        <w:t>i</w:t>
      </w:r>
      <w:proofErr w:type="spellEnd"/>
      <w:r w:rsidRPr="00BE3675">
        <w:t>)-(ⅳ)</w:t>
      </w:r>
    </w:p>
  </w:footnote>
  <w:footnote w:id="485">
    <w:p w14:paraId="00F124CA" w14:textId="4A75D41A" w:rsidR="00C13AFA" w:rsidRDefault="00C13AFA">
      <w:pPr>
        <w:pStyle w:val="ad"/>
      </w:pPr>
      <w:r>
        <w:rPr>
          <w:rStyle w:val="ae"/>
        </w:rPr>
        <w:footnoteRef/>
      </w:r>
      <w:r>
        <w:t xml:space="preserve"> </w:t>
      </w:r>
      <w:r w:rsidRPr="00BE3675">
        <w:t>The Flexible Working (Procedural Requirement) Regulations 2002, SI 2002/3207, Reg 5(b)(ⅱ)</w:t>
      </w:r>
    </w:p>
  </w:footnote>
  <w:footnote w:id="486">
    <w:p w14:paraId="7C9A8052" w14:textId="206ACF40" w:rsidR="00C13AFA" w:rsidRDefault="00C13AFA">
      <w:pPr>
        <w:pStyle w:val="ad"/>
      </w:pPr>
      <w:r>
        <w:rPr>
          <w:rStyle w:val="ae"/>
        </w:rPr>
        <w:footnoteRef/>
      </w:r>
      <w:r>
        <w:t xml:space="preserve"> </w:t>
      </w:r>
      <w:r w:rsidRPr="00BE3675">
        <w:t>New ERA, s 80G(1)(</w:t>
      </w:r>
      <w:proofErr w:type="gramStart"/>
      <w:r w:rsidRPr="00BE3675">
        <w:t>b)(</w:t>
      </w:r>
      <w:proofErr w:type="gramEnd"/>
      <w:r w:rsidRPr="00BE3675">
        <w:t>ⅰ), (ⅴ).</w:t>
      </w:r>
    </w:p>
  </w:footnote>
  <w:footnote w:id="487">
    <w:p w14:paraId="57A5C6B5" w14:textId="790E5316" w:rsidR="00C13AFA" w:rsidRDefault="00C13AFA">
      <w:pPr>
        <w:pStyle w:val="ad"/>
      </w:pPr>
      <w:r>
        <w:rPr>
          <w:rStyle w:val="ae"/>
        </w:rPr>
        <w:footnoteRef/>
      </w:r>
      <w:r>
        <w:t xml:space="preserve"> </w:t>
      </w:r>
      <w:r w:rsidRPr="00BE3675">
        <w:t>Paul Davies and Mark Freedland, TOWARDS A FLEXIBLE LABOUR MARKET, Oxford University Press, 2007, p. 70.</w:t>
      </w:r>
    </w:p>
  </w:footnote>
  <w:footnote w:id="488">
    <w:p w14:paraId="77E360F6" w14:textId="6D0FFF81" w:rsidR="00C13AFA" w:rsidRDefault="00C13AFA">
      <w:pPr>
        <w:pStyle w:val="ad"/>
      </w:pPr>
      <w:r>
        <w:rPr>
          <w:rStyle w:val="ae"/>
        </w:rPr>
        <w:footnoteRef/>
      </w:r>
      <w:r>
        <w:t xml:space="preserve"> </w:t>
      </w:r>
      <w:r w:rsidRPr="00BE3675">
        <w:t>Paul Davies and Mark Freedland, TOWARDS A FLEXIBLE LABOUR MARKET, Oxford University Press, 2007, p. 70.</w:t>
      </w:r>
    </w:p>
  </w:footnote>
  <w:footnote w:id="489">
    <w:p w14:paraId="31C1E60E" w14:textId="0290B79B" w:rsidR="00C13AFA" w:rsidRDefault="00C13AFA">
      <w:pPr>
        <w:pStyle w:val="ad"/>
      </w:pPr>
      <w:r>
        <w:rPr>
          <w:rStyle w:val="ae"/>
        </w:rPr>
        <w:footnoteRef/>
      </w:r>
      <w:r>
        <w:t xml:space="preserve"> </w:t>
      </w:r>
      <w:r w:rsidRPr="00BE3675">
        <w:t>Paul Davies and Mark Freedland, TOWARDS A FLEXIBLE LABOUR MARKET, Oxford University Press, 2007, p. 70.</w:t>
      </w:r>
    </w:p>
  </w:footnote>
  <w:footnote w:id="490">
    <w:p w14:paraId="059D718A" w14:textId="6FF5B01F" w:rsidR="00C13AFA" w:rsidRDefault="00C13AFA">
      <w:pPr>
        <w:pStyle w:val="ad"/>
      </w:pPr>
      <w:r>
        <w:rPr>
          <w:rStyle w:val="ae"/>
        </w:rPr>
        <w:footnoteRef/>
      </w:r>
      <w:r>
        <w:t xml:space="preserve"> </w:t>
      </w:r>
      <w:r w:rsidRPr="00BE3675">
        <w:t>Council Directive 2000/34/EC (OJ 2000 L195/41, 1 August 2000).</w:t>
      </w:r>
    </w:p>
  </w:footnote>
  <w:footnote w:id="491">
    <w:p w14:paraId="39E042D3" w14:textId="2493B378" w:rsidR="00C13AFA" w:rsidRDefault="00C13AFA">
      <w:pPr>
        <w:pStyle w:val="ad"/>
      </w:pPr>
      <w:r>
        <w:rPr>
          <w:rStyle w:val="ae"/>
        </w:rPr>
        <w:footnoteRef/>
      </w:r>
      <w:r>
        <w:t xml:space="preserve"> </w:t>
      </w:r>
      <w:r w:rsidRPr="00BE3675">
        <w:t>This is a summary statement of the effect of the Working Time (Amendment) Regulations 2003, SI 2003/1684.</w:t>
      </w:r>
    </w:p>
  </w:footnote>
  <w:footnote w:id="492">
    <w:p w14:paraId="56881A22" w14:textId="09B8ACFB" w:rsidR="00C13AFA" w:rsidRDefault="00C13AFA">
      <w:pPr>
        <w:pStyle w:val="ad"/>
      </w:pPr>
      <w:r>
        <w:rPr>
          <w:rStyle w:val="ae"/>
        </w:rPr>
        <w:footnoteRef/>
      </w:r>
      <w:r>
        <w:t xml:space="preserve"> </w:t>
      </w:r>
      <w:r w:rsidRPr="00BE3675">
        <w:t>Paul Davies and Mark Freedland, TOWARDS A FLEXIBLE LABOUR MARKET, Oxford University Press, 2007, p. 70.</w:t>
      </w:r>
    </w:p>
  </w:footnote>
  <w:footnote w:id="493">
    <w:p w14:paraId="1BC7B49D" w14:textId="6EDFE47C" w:rsidR="00C13AFA" w:rsidRDefault="00C13AFA">
      <w:pPr>
        <w:pStyle w:val="ad"/>
      </w:pPr>
      <w:r>
        <w:rPr>
          <w:rStyle w:val="ae"/>
        </w:rPr>
        <w:footnoteRef/>
      </w:r>
      <w:r>
        <w:t xml:space="preserve"> </w:t>
      </w:r>
      <w:r w:rsidRPr="00BE3675">
        <w:t>Paul Davies and Mark Freedland, TOWARDS A FLEXIBLE LABOUR MARKET, Oxford University Press, 2007, p. 71.</w:t>
      </w:r>
    </w:p>
  </w:footnote>
  <w:footnote w:id="494">
    <w:p w14:paraId="3BE59C27" w14:textId="45E65D75" w:rsidR="00C13AFA" w:rsidRDefault="00C13AFA">
      <w:pPr>
        <w:pStyle w:val="ad"/>
      </w:pPr>
      <w:r>
        <w:rPr>
          <w:rStyle w:val="ae"/>
        </w:rPr>
        <w:footnoteRef/>
      </w:r>
      <w:r>
        <w:t xml:space="preserve"> </w:t>
      </w:r>
      <w:r w:rsidRPr="00BE3675">
        <w:t>Paul Davies and Mark Freedland, TOWARDS A FLEXIBLE LABOUR MARKET, Oxford University Press, 2007, p. 71.</w:t>
      </w:r>
    </w:p>
  </w:footnote>
  <w:footnote w:id="495">
    <w:p w14:paraId="6F4B21F5" w14:textId="259B5E33" w:rsidR="00C13AFA" w:rsidRDefault="00C13AFA">
      <w:pPr>
        <w:pStyle w:val="ad"/>
      </w:pPr>
      <w:r>
        <w:rPr>
          <w:rStyle w:val="ae"/>
        </w:rPr>
        <w:footnoteRef/>
      </w:r>
      <w:r>
        <w:t xml:space="preserve"> </w:t>
      </w:r>
      <w:r w:rsidRPr="00BE3675">
        <w:t>Paul Davies and Mark Freedland, TOWARDS A FLEXIBLE LABOUR MARKET, Oxford University Press, 2007, p. 71.</w:t>
      </w:r>
    </w:p>
  </w:footnote>
  <w:footnote w:id="496">
    <w:p w14:paraId="59028310" w14:textId="0EE0E52C" w:rsidR="00C13AFA" w:rsidRDefault="00C13AFA">
      <w:pPr>
        <w:pStyle w:val="ad"/>
      </w:pPr>
      <w:r>
        <w:rPr>
          <w:rStyle w:val="ae"/>
        </w:rPr>
        <w:footnoteRef/>
      </w:r>
      <w:r>
        <w:t xml:space="preserve"> </w:t>
      </w:r>
      <w:r w:rsidRPr="00BE3675">
        <w:t>Paul Davies and Mark Freedland, TOWARDS A FLEXIBLE LABOUR MARKET, Oxford University Press, 2007, p. 71.</w:t>
      </w:r>
    </w:p>
  </w:footnote>
  <w:footnote w:id="497">
    <w:p w14:paraId="00571459" w14:textId="527C2251" w:rsidR="00C13AFA" w:rsidRDefault="00C13AFA">
      <w:pPr>
        <w:pStyle w:val="ad"/>
      </w:pPr>
      <w:r>
        <w:rPr>
          <w:rStyle w:val="ae"/>
        </w:rPr>
        <w:footnoteRef/>
      </w:r>
      <w:r>
        <w:t xml:space="preserve"> </w:t>
      </w:r>
      <w:r w:rsidRPr="00BE3675">
        <w:t>Paul Davies and Mark Freedland, TOWARDS A FLEXIBLE LABOUR MARKET, Oxford University Press, 2007, p. 73.</w:t>
      </w:r>
    </w:p>
  </w:footnote>
  <w:footnote w:id="498">
    <w:p w14:paraId="67DE201C" w14:textId="67390F95" w:rsidR="00C13AFA" w:rsidRDefault="00C13AFA">
      <w:pPr>
        <w:pStyle w:val="ad"/>
      </w:pPr>
      <w:r>
        <w:rPr>
          <w:rStyle w:val="ae"/>
        </w:rPr>
        <w:footnoteRef/>
      </w:r>
      <w:r>
        <w:t xml:space="preserve"> </w:t>
      </w:r>
      <w:r w:rsidRPr="00BE3675">
        <w:t>Pension Act 2004, ss 173-181.</w:t>
      </w:r>
    </w:p>
  </w:footnote>
  <w:footnote w:id="499">
    <w:p w14:paraId="6B107299" w14:textId="67384AA0" w:rsidR="00C13AFA" w:rsidRDefault="00C13AFA">
      <w:pPr>
        <w:pStyle w:val="ad"/>
      </w:pPr>
      <w:r>
        <w:rPr>
          <w:rStyle w:val="ae"/>
        </w:rPr>
        <w:footnoteRef/>
      </w:r>
      <w:r>
        <w:t xml:space="preserve"> </w:t>
      </w:r>
      <w:r w:rsidRPr="00BE3675">
        <w:t>Pension Act 2004, ss 173-181.</w:t>
      </w:r>
    </w:p>
  </w:footnote>
  <w:footnote w:id="500">
    <w:p w14:paraId="2A0EB43A" w14:textId="08526517" w:rsidR="00C13AFA" w:rsidRDefault="00C13AFA">
      <w:pPr>
        <w:pStyle w:val="ad"/>
      </w:pPr>
      <w:r>
        <w:rPr>
          <w:rStyle w:val="ae"/>
        </w:rPr>
        <w:footnoteRef/>
      </w:r>
      <w:r>
        <w:t xml:space="preserve"> </w:t>
      </w:r>
      <w:r w:rsidRPr="00BE3675">
        <w:t>Pensions Act 2004, ss 221-233.</w:t>
      </w:r>
    </w:p>
  </w:footnote>
  <w:footnote w:id="501">
    <w:p w14:paraId="5789C91F" w14:textId="7CE4F664" w:rsidR="00C13AFA" w:rsidRDefault="00C13AFA">
      <w:pPr>
        <w:pStyle w:val="ad"/>
      </w:pPr>
      <w:r>
        <w:rPr>
          <w:rStyle w:val="ae"/>
        </w:rPr>
        <w:footnoteRef/>
      </w:r>
      <w:r>
        <w:t xml:space="preserve"> </w:t>
      </w:r>
      <w:r w:rsidRPr="00BE3675">
        <w:t>Cm 5835, chapter 3.</w:t>
      </w:r>
    </w:p>
  </w:footnote>
  <w:footnote w:id="502">
    <w:p w14:paraId="09E22F6B" w14:textId="753AD256" w:rsidR="00C13AFA" w:rsidRDefault="00C13AFA">
      <w:pPr>
        <w:pStyle w:val="ad"/>
      </w:pPr>
      <w:r>
        <w:rPr>
          <w:rStyle w:val="ae"/>
        </w:rPr>
        <w:footnoteRef/>
      </w:r>
      <w:r>
        <w:t xml:space="preserve"> </w:t>
      </w:r>
      <w:r w:rsidRPr="00BE3675">
        <w:t>Para 3.4. ‘Our proposals will allow schemes greater flexibility to match their investment strategy to the profile of their members.’</w:t>
      </w:r>
    </w:p>
  </w:footnote>
  <w:footnote w:id="503">
    <w:p w14:paraId="2FE45EFA" w14:textId="2A141E4A" w:rsidR="00C13AFA" w:rsidRDefault="00C13AFA">
      <w:pPr>
        <w:pStyle w:val="ad"/>
      </w:pPr>
      <w:r>
        <w:rPr>
          <w:rStyle w:val="ae"/>
        </w:rPr>
        <w:footnoteRef/>
      </w:r>
      <w:r>
        <w:t xml:space="preserve"> </w:t>
      </w:r>
      <w:r w:rsidRPr="00BE3675">
        <w:t>Para 2.22 ‘Greater flexibility and proportionality will benefit both those the Pensions Regulatory seeks to protect and those who provide and administer work-based pension schemes.’</w:t>
      </w:r>
    </w:p>
  </w:footnote>
  <w:footnote w:id="504">
    <w:p w14:paraId="205D1E72" w14:textId="112CE653" w:rsidR="00C13AFA" w:rsidRDefault="00C13AFA">
      <w:pPr>
        <w:pStyle w:val="ad"/>
      </w:pPr>
      <w:r>
        <w:rPr>
          <w:rStyle w:val="ae"/>
        </w:rPr>
        <w:footnoteRef/>
      </w:r>
      <w:r>
        <w:t xml:space="preserve"> </w:t>
      </w:r>
      <w:r w:rsidRPr="00BE3675">
        <w:t>Paul Davies and Mark Freedland, TOWARDS A FLEXIBLE LABOUR MARKET, Oxford University Press, 2007, p. 75.</w:t>
      </w:r>
    </w:p>
  </w:footnote>
  <w:footnote w:id="505">
    <w:p w14:paraId="25F2C421" w14:textId="67D23DA2" w:rsidR="00C13AFA" w:rsidRDefault="00C13AFA">
      <w:pPr>
        <w:pStyle w:val="ad"/>
      </w:pPr>
      <w:r>
        <w:rPr>
          <w:rStyle w:val="ae"/>
        </w:rPr>
        <w:footnoteRef/>
      </w:r>
      <w:r>
        <w:t xml:space="preserve"> </w:t>
      </w:r>
      <w:r w:rsidRPr="00BE3675">
        <w:t>Paul Davies and Mark Freedland, TOWARDS A FLEXIBLE LABOUR MARKET, Oxford University Press, 2007, p. 75.</w:t>
      </w:r>
    </w:p>
  </w:footnote>
  <w:footnote w:id="506">
    <w:p w14:paraId="1C765B8E" w14:textId="66F888E1" w:rsidR="00C13AFA" w:rsidRDefault="00C13AFA">
      <w:pPr>
        <w:pStyle w:val="ad"/>
      </w:pPr>
      <w:r>
        <w:rPr>
          <w:rStyle w:val="ae"/>
        </w:rPr>
        <w:footnoteRef/>
      </w:r>
      <w:r>
        <w:t xml:space="preserve"> </w:t>
      </w:r>
      <w:r w:rsidRPr="00BE3675">
        <w:t>This is a rhetoric which infused much of the White Paper as Simplicity, security and choice: Working and saving for retirement-Action on occupational pensions (Cm 5835) especially chapter 4: ‘Choice for all-planning for retirement’.</w:t>
      </w:r>
    </w:p>
  </w:footnote>
  <w:footnote w:id="507">
    <w:p w14:paraId="17E2C4DB" w14:textId="2431BD86" w:rsidR="00C13AFA" w:rsidRDefault="00C13AFA">
      <w:pPr>
        <w:pStyle w:val="ad"/>
      </w:pPr>
      <w:r>
        <w:rPr>
          <w:rStyle w:val="ae"/>
        </w:rPr>
        <w:footnoteRef/>
      </w:r>
      <w:r>
        <w:t xml:space="preserve"> </w:t>
      </w:r>
      <w:r w:rsidRPr="00BE3675">
        <w:t>Department of Work and Pensions, Cm 6841 (London: TSO, May 2006).</w:t>
      </w:r>
    </w:p>
  </w:footnote>
  <w:footnote w:id="508">
    <w:p w14:paraId="3F4E8EEF" w14:textId="41D76B86" w:rsidR="00C13AFA" w:rsidRDefault="00C13AFA">
      <w:pPr>
        <w:pStyle w:val="ad"/>
      </w:pPr>
      <w:r>
        <w:rPr>
          <w:rStyle w:val="ae"/>
        </w:rPr>
        <w:footnoteRef/>
      </w:r>
      <w:r>
        <w:t xml:space="preserve"> </w:t>
      </w:r>
      <w:r w:rsidRPr="00BE3675">
        <w:t xml:space="preserve">As, for example, in the Prime Minister’s Foreword, and the Foreword of </w:t>
      </w:r>
      <w:proofErr w:type="spellStart"/>
      <w:r w:rsidRPr="00BE3675">
        <w:t>Mr</w:t>
      </w:r>
      <w:proofErr w:type="spellEnd"/>
      <w:r w:rsidRPr="00BE3675">
        <w:t xml:space="preserve"> John Hutton as Secretary of State for Work and Pensions. Contemporary political reportage strongly suggests that such caveats were insisted upon by the Chancellor of the Exchequer, </w:t>
      </w:r>
      <w:proofErr w:type="spellStart"/>
      <w:r w:rsidRPr="00BE3675">
        <w:t>Mr</w:t>
      </w:r>
      <w:proofErr w:type="spellEnd"/>
      <w:r w:rsidRPr="00BE3675">
        <w:t xml:space="preserve"> Gordon Brown.</w:t>
      </w:r>
    </w:p>
  </w:footnote>
  <w:footnote w:id="509">
    <w:p w14:paraId="721D11FC" w14:textId="26B95C8B" w:rsidR="00C13AFA" w:rsidRDefault="00C13AFA">
      <w:pPr>
        <w:pStyle w:val="ad"/>
      </w:pPr>
      <w:r>
        <w:rPr>
          <w:rStyle w:val="ae"/>
        </w:rPr>
        <w:footnoteRef/>
      </w:r>
      <w:r>
        <w:t xml:space="preserve"> </w:t>
      </w:r>
      <w:r w:rsidRPr="00BE3675">
        <w:t>Paul Davies and Mark Freedland, TOWARDS A FLEXIBLE LABOUR MARKET, Oxford University Press, 2007, p. 77.</w:t>
      </w:r>
    </w:p>
  </w:footnote>
  <w:footnote w:id="510">
    <w:p w14:paraId="0BA6E830" w14:textId="41757EBA" w:rsidR="00C13AFA" w:rsidRDefault="00C13AFA">
      <w:pPr>
        <w:pStyle w:val="ad"/>
      </w:pPr>
      <w:r>
        <w:rPr>
          <w:rStyle w:val="ae"/>
        </w:rPr>
        <w:footnoteRef/>
      </w:r>
      <w:r>
        <w:t xml:space="preserve"> </w:t>
      </w:r>
      <w:r w:rsidRPr="00BE3675">
        <w:t>Paul Davies and Mark Freedland, TOWARDS A FLEXIBLE LABOUR MARKET, Oxford University Press, 2007, p. 77.</w:t>
      </w:r>
    </w:p>
  </w:footnote>
  <w:footnote w:id="511">
    <w:p w14:paraId="56450402" w14:textId="6CB3C4D5" w:rsidR="00C13AFA" w:rsidRDefault="00C13AFA">
      <w:pPr>
        <w:pStyle w:val="ad"/>
      </w:pPr>
      <w:r>
        <w:rPr>
          <w:rStyle w:val="ae"/>
        </w:rPr>
        <w:footnoteRef/>
      </w:r>
      <w:r>
        <w:t xml:space="preserve"> </w:t>
      </w:r>
      <w:r w:rsidRPr="00BE3675">
        <w:t>Paul Davies and Mark Freedland, TOWARDS A FLEXIBLE LABOUR MARKET, Oxford University Press, 2007, p. 77.</w:t>
      </w:r>
    </w:p>
  </w:footnote>
  <w:footnote w:id="512">
    <w:p w14:paraId="3DB1F6FF" w14:textId="4ED89E58" w:rsidR="00C13AFA" w:rsidRDefault="00C13AFA">
      <w:pPr>
        <w:pStyle w:val="ad"/>
      </w:pPr>
      <w:r>
        <w:rPr>
          <w:rStyle w:val="ae"/>
        </w:rPr>
        <w:footnoteRef/>
      </w:r>
      <w:r>
        <w:t xml:space="preserve"> </w:t>
      </w:r>
      <w:r w:rsidRPr="00BE3675">
        <w:t>Para 41.</w:t>
      </w:r>
    </w:p>
  </w:footnote>
  <w:footnote w:id="513">
    <w:p w14:paraId="2A69079D" w14:textId="177EA6DE" w:rsidR="00C13AFA" w:rsidRDefault="00C13AFA">
      <w:pPr>
        <w:pStyle w:val="ad"/>
      </w:pPr>
      <w:r>
        <w:rPr>
          <w:rStyle w:val="ae"/>
        </w:rPr>
        <w:footnoteRef/>
      </w:r>
      <w:r>
        <w:t xml:space="preserve"> </w:t>
      </w:r>
      <w:r w:rsidRPr="00BE3675">
        <w:t>Para 41.</w:t>
      </w:r>
    </w:p>
  </w:footnote>
  <w:footnote w:id="514">
    <w:p w14:paraId="4B51FE67" w14:textId="33431878" w:rsidR="00C13AFA" w:rsidRDefault="00C13AFA">
      <w:pPr>
        <w:pStyle w:val="ad"/>
      </w:pPr>
      <w:r>
        <w:rPr>
          <w:rStyle w:val="ae"/>
        </w:rPr>
        <w:footnoteRef/>
      </w:r>
      <w:r>
        <w:t xml:space="preserve"> </w:t>
      </w:r>
      <w:r w:rsidRPr="00BE3675">
        <w:t>Section 35 and Schedule 10 of the 1994 Act, repealing Employment Agencies Act 1973, ss 1-3.</w:t>
      </w:r>
    </w:p>
  </w:footnote>
  <w:footnote w:id="515">
    <w:p w14:paraId="31FBA356" w14:textId="670B03DD" w:rsidR="00C13AFA" w:rsidRDefault="00C13AFA">
      <w:pPr>
        <w:pStyle w:val="ad"/>
      </w:pPr>
      <w:r>
        <w:rPr>
          <w:rStyle w:val="ae"/>
        </w:rPr>
        <w:footnoteRef/>
      </w:r>
      <w:r>
        <w:t xml:space="preserve"> </w:t>
      </w:r>
      <w:r w:rsidRPr="00BE3675">
        <w:t xml:space="preserve">See very useful annotation to the </w:t>
      </w:r>
      <w:proofErr w:type="spellStart"/>
      <w:r w:rsidRPr="00BE3675">
        <w:t>Gangmasters</w:t>
      </w:r>
      <w:proofErr w:type="spellEnd"/>
      <w:r w:rsidRPr="00BE3675">
        <w:t xml:space="preserve"> (Licensing) Act 2004 by R Fortson, [2004] Current Law Statues 2004/11 at 2004/11/1.</w:t>
      </w:r>
    </w:p>
  </w:footnote>
  <w:footnote w:id="516">
    <w:p w14:paraId="345F61ED" w14:textId="703FD476" w:rsidR="00C13AFA" w:rsidRDefault="00C13AFA">
      <w:pPr>
        <w:pStyle w:val="ad"/>
      </w:pPr>
      <w:r>
        <w:rPr>
          <w:rStyle w:val="ae"/>
        </w:rPr>
        <w:footnoteRef/>
      </w:r>
      <w:r>
        <w:t xml:space="preserve"> </w:t>
      </w:r>
      <w:r w:rsidRPr="00BE3675">
        <w:t>Paul Davies and Mark Freedland, TOWARDS A FLEXIBLE LABOUR MARKET, Oxford University Press, 2007, p. 79.</w:t>
      </w:r>
    </w:p>
  </w:footnote>
  <w:footnote w:id="517">
    <w:p w14:paraId="0F4A1802" w14:textId="62005368" w:rsidR="00C13AFA" w:rsidRDefault="00C13AFA">
      <w:pPr>
        <w:pStyle w:val="ad"/>
      </w:pPr>
      <w:r>
        <w:rPr>
          <w:rStyle w:val="ae"/>
        </w:rPr>
        <w:footnoteRef/>
      </w:r>
      <w:r>
        <w:t xml:space="preserve"> </w:t>
      </w:r>
      <w:r w:rsidRPr="00BE3675">
        <w:t>Section 25-Regulations, rules and orders.</w:t>
      </w:r>
    </w:p>
  </w:footnote>
  <w:footnote w:id="518">
    <w:p w14:paraId="68D2F1B8" w14:textId="357B5A1C" w:rsidR="00C13AFA" w:rsidRDefault="00C13AFA">
      <w:pPr>
        <w:pStyle w:val="ad"/>
      </w:pPr>
      <w:r>
        <w:rPr>
          <w:rStyle w:val="ae"/>
        </w:rPr>
        <w:footnoteRef/>
      </w:r>
      <w:r>
        <w:t xml:space="preserve"> </w:t>
      </w:r>
      <w:r w:rsidRPr="00BE3675">
        <w:t>Paul Davies and Mark Freedland, TOWARDS A FLEXIBLE LABOUR MARKET, Oxford University Press, 2007, p. 79.</w:t>
      </w:r>
    </w:p>
  </w:footnote>
  <w:footnote w:id="519">
    <w:p w14:paraId="52AC85A8" w14:textId="5D9D28D3" w:rsidR="00C13AFA" w:rsidRDefault="00C13AFA">
      <w:pPr>
        <w:pStyle w:val="ad"/>
      </w:pPr>
      <w:r>
        <w:rPr>
          <w:rStyle w:val="ae"/>
        </w:rPr>
        <w:footnoteRef/>
      </w:r>
      <w:r>
        <w:t xml:space="preserve"> </w:t>
      </w:r>
      <w:r w:rsidRPr="00BE3675">
        <w:t>Paul Davies and Mark Freedland, TOWARDS A FLEXIBLE LABOUR MARKET, Oxford University Press, 2007, p. 79.</w:t>
      </w:r>
    </w:p>
  </w:footnote>
  <w:footnote w:id="520">
    <w:p w14:paraId="73D5BE14" w14:textId="28C0D3DE" w:rsidR="00C13AFA" w:rsidRDefault="00C13AFA">
      <w:pPr>
        <w:pStyle w:val="ad"/>
      </w:pPr>
      <w:r>
        <w:rPr>
          <w:rStyle w:val="ae"/>
        </w:rPr>
        <w:footnoteRef/>
      </w:r>
      <w:r>
        <w:t xml:space="preserve"> </w:t>
      </w:r>
      <w:r w:rsidRPr="00BE3675">
        <w:t>Paul Davies and Mark Freedland, TOWARDS A FLEXIBLE LABOUR MARKET, Oxford University Press, 2007, p. 79-80.</w:t>
      </w:r>
    </w:p>
  </w:footnote>
  <w:footnote w:id="521">
    <w:p w14:paraId="00EEE63F" w14:textId="2DE1FE28" w:rsidR="00C13AFA" w:rsidRDefault="00C13AFA">
      <w:pPr>
        <w:pStyle w:val="ad"/>
      </w:pPr>
      <w:r>
        <w:rPr>
          <w:rStyle w:val="ae"/>
        </w:rPr>
        <w:footnoteRef/>
      </w:r>
      <w:r>
        <w:t xml:space="preserve"> </w:t>
      </w:r>
      <w:r w:rsidRPr="00BE3675">
        <w:t>DEFRA News Release 107/06; see: http://wwwdefra.gov.uk/news/2006/060313c.htm</w:t>
      </w:r>
    </w:p>
  </w:footnote>
  <w:footnote w:id="522">
    <w:p w14:paraId="4A59658F" w14:textId="5771B096" w:rsidR="00C13AFA" w:rsidRDefault="00C13AFA">
      <w:pPr>
        <w:pStyle w:val="ad"/>
      </w:pPr>
      <w:r>
        <w:rPr>
          <w:rStyle w:val="ae"/>
        </w:rPr>
        <w:footnoteRef/>
      </w:r>
      <w:r>
        <w:t xml:space="preserve"> </w:t>
      </w:r>
      <w:r w:rsidRPr="00BE3675">
        <w:t>Paul Davies and Mark Freedland, TOWARDS A FLEXIBLE LABOUR MARKET, Oxford University Press, 2007, p. 81-82.</w:t>
      </w:r>
    </w:p>
  </w:footnote>
  <w:footnote w:id="523">
    <w:p w14:paraId="1DB444DB" w14:textId="0B16B042" w:rsidR="00C13AFA" w:rsidRDefault="00C13AFA">
      <w:pPr>
        <w:pStyle w:val="ad"/>
      </w:pPr>
      <w:r>
        <w:rPr>
          <w:rStyle w:val="ae"/>
        </w:rPr>
        <w:footnoteRef/>
      </w:r>
      <w:r>
        <w:t xml:space="preserve"> </w:t>
      </w:r>
      <w:r w:rsidRPr="00BE3675">
        <w:t>Council Directive 2000/43/EC (2000 OJ L180/22, 19 July 2000).</w:t>
      </w:r>
    </w:p>
  </w:footnote>
  <w:footnote w:id="524">
    <w:p w14:paraId="6F402808" w14:textId="5839BAE3" w:rsidR="00C13AFA" w:rsidRDefault="00C13AFA">
      <w:pPr>
        <w:pStyle w:val="ad"/>
      </w:pPr>
      <w:r>
        <w:rPr>
          <w:rStyle w:val="ae"/>
        </w:rPr>
        <w:footnoteRef/>
      </w:r>
      <w:r>
        <w:t xml:space="preserve"> </w:t>
      </w:r>
      <w:r w:rsidRPr="00BE3675">
        <w:t xml:space="preserve">The Stephen Lawrence Inquiry: Report </w:t>
      </w:r>
      <w:proofErr w:type="gramStart"/>
      <w:r w:rsidRPr="00BE3675">
        <w:t>Of</w:t>
      </w:r>
      <w:proofErr w:type="gramEnd"/>
      <w:r w:rsidRPr="00BE3675">
        <w:t xml:space="preserve"> An Inquiry By Sir William Macpherson, Cm 4262-Ⅰ (London: TSO, February 1999).</w:t>
      </w:r>
    </w:p>
  </w:footnote>
  <w:footnote w:id="525">
    <w:p w14:paraId="602EABB1" w14:textId="5430F389" w:rsidR="00C13AFA" w:rsidRPr="00BE3675" w:rsidRDefault="00C13AFA">
      <w:pPr>
        <w:pStyle w:val="ad"/>
      </w:pPr>
      <w:r>
        <w:rPr>
          <w:rStyle w:val="ae"/>
        </w:rPr>
        <w:footnoteRef/>
      </w:r>
      <w:r>
        <w:t xml:space="preserve"> </w:t>
      </w:r>
      <w:r w:rsidRPr="00BE3675">
        <w:t>Race Relations Amendment Act 2000, s 1, inserting ss 19B-19F into the 1976 Act.</w:t>
      </w:r>
    </w:p>
  </w:footnote>
  <w:footnote w:id="526">
    <w:p w14:paraId="16C01A89" w14:textId="0539242A" w:rsidR="00C13AFA" w:rsidRDefault="00C13AFA">
      <w:pPr>
        <w:pStyle w:val="ad"/>
      </w:pPr>
      <w:r>
        <w:rPr>
          <w:rStyle w:val="ae"/>
        </w:rPr>
        <w:footnoteRef/>
      </w:r>
      <w:r>
        <w:t xml:space="preserve"> </w:t>
      </w:r>
      <w:r w:rsidRPr="00BE3675">
        <w:t>Race Relations Amendment Act 2000, s 1, inserting ss 19B-19F into the 1976 Act.</w:t>
      </w:r>
    </w:p>
  </w:footnote>
  <w:footnote w:id="527">
    <w:p w14:paraId="6C42EA66" w14:textId="73B029B3" w:rsidR="00C13AFA" w:rsidRDefault="00C13AFA">
      <w:pPr>
        <w:pStyle w:val="ad"/>
      </w:pPr>
      <w:r>
        <w:rPr>
          <w:rStyle w:val="ae"/>
        </w:rPr>
        <w:footnoteRef/>
      </w:r>
      <w:r>
        <w:t xml:space="preserve"> </w:t>
      </w:r>
      <w:r w:rsidRPr="00BE3675">
        <w:t>Section 2 of the 2000 Act replaces section 71 of the 1976 Act, which imposed a general duty on local authorities to promote race equality, with sections 71-71E which provide for all specified public authorities to promote race equality.</w:t>
      </w:r>
    </w:p>
  </w:footnote>
  <w:footnote w:id="528">
    <w:p w14:paraId="24AA4209" w14:textId="082F4F96" w:rsidR="00C13AFA" w:rsidRDefault="00C13AFA">
      <w:pPr>
        <w:pStyle w:val="ad"/>
      </w:pPr>
      <w:r>
        <w:rPr>
          <w:rStyle w:val="ae"/>
        </w:rPr>
        <w:footnoteRef/>
      </w:r>
      <w:r>
        <w:t xml:space="preserve"> </w:t>
      </w:r>
      <w:r w:rsidRPr="00BE3675">
        <w:t>Disability Discrimination Act 2005, ss 1-3, implementing proposals canvassed in the consultation document Towards Inclusion-Civil Rights for Disabled People-Government Response to the Disability Rights Taskforce (DfES, March 2001).</w:t>
      </w:r>
    </w:p>
  </w:footnote>
  <w:footnote w:id="529">
    <w:p w14:paraId="424DF62E" w14:textId="34FDCE67" w:rsidR="00C13AFA" w:rsidRDefault="00C13AFA">
      <w:pPr>
        <w:pStyle w:val="ad"/>
      </w:pPr>
      <w:r>
        <w:rPr>
          <w:rStyle w:val="ae"/>
        </w:rPr>
        <w:footnoteRef/>
      </w:r>
      <w:r>
        <w:t xml:space="preserve"> </w:t>
      </w:r>
      <w:r w:rsidRPr="00BE3675">
        <w:t>Equality Act 2006, s 84, inserting into the Sex Discrimination Act 1975 a new s 75A (‘Public Authorities: General Statutory Duty’).</w:t>
      </w:r>
    </w:p>
  </w:footnote>
  <w:footnote w:id="530">
    <w:p w14:paraId="5C7967DB" w14:textId="2C9A5332" w:rsidR="00C13AFA" w:rsidRDefault="00C13AFA">
      <w:pPr>
        <w:pStyle w:val="ad"/>
      </w:pPr>
      <w:r>
        <w:rPr>
          <w:rStyle w:val="ae"/>
        </w:rPr>
        <w:footnoteRef/>
      </w:r>
      <w:r>
        <w:t xml:space="preserve"> </w:t>
      </w:r>
      <w:r w:rsidRPr="00BE3675">
        <w:t xml:space="preserve">The proposals as they stood in 2000, and the arguments for and against them in their various formulations, were described by S </w:t>
      </w:r>
      <w:proofErr w:type="spellStart"/>
      <w:r w:rsidRPr="00BE3675">
        <w:t>Fredman</w:t>
      </w:r>
      <w:proofErr w:type="spellEnd"/>
      <w:r w:rsidRPr="00BE3675">
        <w:t>, C McCrudden, and M R Freedland in ‘An E.U. Charter of Fundamental Rights’ [2000] Public Law 178.</w:t>
      </w:r>
    </w:p>
  </w:footnote>
  <w:footnote w:id="531">
    <w:p w14:paraId="17F41A38" w14:textId="3482C2F0" w:rsidR="00C13AFA" w:rsidRDefault="00C13AFA">
      <w:pPr>
        <w:pStyle w:val="ad"/>
      </w:pPr>
      <w:r>
        <w:rPr>
          <w:rStyle w:val="ae"/>
        </w:rPr>
        <w:footnoteRef/>
      </w:r>
      <w:r>
        <w:t xml:space="preserve"> </w:t>
      </w:r>
      <w:r w:rsidRPr="006F750A">
        <w:t>The Charter was promulgated as a ‘Solemn Proclamation’ (2000/C 364/01- OJ C3641/1/ 18 December 2000)</w:t>
      </w:r>
    </w:p>
  </w:footnote>
  <w:footnote w:id="532">
    <w:p w14:paraId="6A864C8F" w14:textId="30D74440" w:rsidR="00C13AFA" w:rsidRDefault="00C13AFA">
      <w:pPr>
        <w:pStyle w:val="ad"/>
      </w:pPr>
      <w:r>
        <w:rPr>
          <w:rStyle w:val="ae"/>
        </w:rPr>
        <w:footnoteRef/>
      </w:r>
      <w:r>
        <w:t xml:space="preserve"> </w:t>
      </w:r>
      <w:r w:rsidRPr="006F750A">
        <w:t xml:space="preserve">See, B </w:t>
      </w:r>
      <w:proofErr w:type="spellStart"/>
      <w:r w:rsidRPr="006F750A">
        <w:t>Hepple</w:t>
      </w:r>
      <w:proofErr w:type="spellEnd"/>
      <w:r w:rsidRPr="006F750A">
        <w:t>, ‘The EU Charter of Fundamental Rights’ (2001) 30 ILJ 225.</w:t>
      </w:r>
    </w:p>
  </w:footnote>
  <w:footnote w:id="533">
    <w:p w14:paraId="1F1E6A7D" w14:textId="5F5FCDC7" w:rsidR="00C13AFA" w:rsidRDefault="00C13AFA">
      <w:pPr>
        <w:pStyle w:val="ad"/>
      </w:pPr>
      <w:r>
        <w:rPr>
          <w:rStyle w:val="ae"/>
        </w:rPr>
        <w:footnoteRef/>
      </w:r>
      <w:r>
        <w:t xml:space="preserve"> </w:t>
      </w:r>
      <w:r w:rsidRPr="006F750A">
        <w:t xml:space="preserve">B </w:t>
      </w:r>
      <w:proofErr w:type="spellStart"/>
      <w:r w:rsidRPr="006F750A">
        <w:t>Bercusson</w:t>
      </w:r>
      <w:proofErr w:type="spellEnd"/>
      <w:r w:rsidRPr="006F750A">
        <w:t xml:space="preserve">, ‘Episodes on the Path Towards the European Social Model’, chapter 8 of </w:t>
      </w:r>
      <w:proofErr w:type="spellStart"/>
      <w:r w:rsidRPr="006F750A">
        <w:t>Hepple</w:t>
      </w:r>
      <w:proofErr w:type="spellEnd"/>
      <w:r w:rsidRPr="006F750A">
        <w:t xml:space="preserve"> QC (Oxford and Portland, Oregon: Hart Publishing, 2004).</w:t>
      </w:r>
    </w:p>
  </w:footnote>
  <w:footnote w:id="534">
    <w:p w14:paraId="6926B478" w14:textId="7EBB0FC9" w:rsidR="00C13AFA" w:rsidRPr="006F750A" w:rsidRDefault="00C13AFA">
      <w:pPr>
        <w:pStyle w:val="ad"/>
      </w:pPr>
      <w:r>
        <w:rPr>
          <w:rStyle w:val="ae"/>
        </w:rPr>
        <w:footnoteRef/>
      </w:r>
      <w:r>
        <w:t xml:space="preserve"> </w:t>
      </w:r>
      <w:r w:rsidRPr="006F750A">
        <w:t>Council Directives 2000/78/EC of 27 November 2000 establishing a general framework for equal treatment in employment and occupation (OJ 2000 L303/16, 2 December 2000).</w:t>
      </w:r>
    </w:p>
  </w:footnote>
  <w:footnote w:id="535">
    <w:p w14:paraId="2D40CB14" w14:textId="06BF92D2" w:rsidR="00C13AFA" w:rsidRDefault="00C13AFA">
      <w:pPr>
        <w:pStyle w:val="ad"/>
      </w:pPr>
      <w:r>
        <w:rPr>
          <w:rStyle w:val="ae"/>
        </w:rPr>
        <w:footnoteRef/>
      </w:r>
      <w:r>
        <w:t xml:space="preserve"> </w:t>
      </w:r>
      <w:r w:rsidRPr="006F750A">
        <w:t>Paul Davies and Mark Freedland, TOWARDS A FLEXIBLE LABOUR MARKET, Oxford University Press, 2007, p. 83.</w:t>
      </w:r>
    </w:p>
  </w:footnote>
  <w:footnote w:id="536">
    <w:p w14:paraId="5E2FDE85" w14:textId="11DD0049" w:rsidR="00C13AFA" w:rsidRDefault="00C13AFA">
      <w:pPr>
        <w:pStyle w:val="ad"/>
      </w:pPr>
      <w:r>
        <w:rPr>
          <w:rStyle w:val="ae"/>
        </w:rPr>
        <w:footnoteRef/>
      </w:r>
      <w:r>
        <w:t xml:space="preserve"> </w:t>
      </w:r>
      <w:r w:rsidRPr="006F750A">
        <w:t>Any outstanding issues could be regarded as having been addressed by the Disability Discrimination Act 1995 (Amendment) Regulations 2003, SI 2003/1673.</w:t>
      </w:r>
    </w:p>
  </w:footnote>
  <w:footnote w:id="537">
    <w:p w14:paraId="242F3CFF" w14:textId="4800F659" w:rsidR="00C13AFA" w:rsidRDefault="00C13AFA">
      <w:pPr>
        <w:pStyle w:val="ad"/>
      </w:pPr>
      <w:r>
        <w:rPr>
          <w:rStyle w:val="ae"/>
        </w:rPr>
        <w:footnoteRef/>
      </w:r>
      <w:r>
        <w:t xml:space="preserve"> </w:t>
      </w:r>
      <w:r w:rsidRPr="006F750A">
        <w:t>Paul Davies and Mark Freedland, TOWARDS A FLEXIBLE LABOUR MARKET, Oxford University Press, 2007, p. 84.</w:t>
      </w:r>
    </w:p>
  </w:footnote>
  <w:footnote w:id="538">
    <w:p w14:paraId="6948719A" w14:textId="6D682694" w:rsidR="00C13AFA" w:rsidRDefault="00C13AFA">
      <w:pPr>
        <w:pStyle w:val="ad"/>
      </w:pPr>
      <w:r>
        <w:rPr>
          <w:rStyle w:val="ae"/>
        </w:rPr>
        <w:footnoteRef/>
      </w:r>
      <w:r>
        <w:t xml:space="preserve"> </w:t>
      </w:r>
      <w:r w:rsidRPr="006F750A">
        <w:t>Article 18; this was a facility which the UK invoked.</w:t>
      </w:r>
    </w:p>
  </w:footnote>
  <w:footnote w:id="539">
    <w:p w14:paraId="1A1A40DF" w14:textId="3A3AC2E2" w:rsidR="00C13AFA" w:rsidRDefault="00C13AFA">
      <w:pPr>
        <w:pStyle w:val="ad"/>
      </w:pPr>
      <w:r>
        <w:rPr>
          <w:rStyle w:val="ae"/>
        </w:rPr>
        <w:footnoteRef/>
      </w:r>
      <w:r>
        <w:t xml:space="preserve"> </w:t>
      </w:r>
      <w:r w:rsidRPr="006F750A">
        <w:t>Paul Davies and Mark Freedland, TOWARDS A FLEXIBLE LABOUR MARKET, Oxford University Press, 2007, p. 84.</w:t>
      </w:r>
    </w:p>
  </w:footnote>
  <w:footnote w:id="540">
    <w:p w14:paraId="4F44968E" w14:textId="26A728EF" w:rsidR="00C13AFA" w:rsidRDefault="00C13AFA">
      <w:pPr>
        <w:pStyle w:val="ad"/>
      </w:pPr>
      <w:r>
        <w:rPr>
          <w:rStyle w:val="ae"/>
        </w:rPr>
        <w:footnoteRef/>
      </w:r>
      <w:r>
        <w:t xml:space="preserve"> </w:t>
      </w:r>
      <w:r w:rsidRPr="006F750A">
        <w:t>Article 6.</w:t>
      </w:r>
    </w:p>
  </w:footnote>
  <w:footnote w:id="541">
    <w:p w14:paraId="5FB38886" w14:textId="71EBBDBF" w:rsidR="00C13AFA" w:rsidRDefault="00C13AFA">
      <w:pPr>
        <w:pStyle w:val="ad"/>
      </w:pPr>
      <w:r>
        <w:rPr>
          <w:rStyle w:val="ae"/>
        </w:rPr>
        <w:footnoteRef/>
      </w:r>
      <w:r>
        <w:t xml:space="preserve"> </w:t>
      </w:r>
      <w:r w:rsidRPr="006F750A">
        <w:t>Details of national implementation are accessible via the website of the European Commission DG for Employment, Social Affairs, and Equal Opportunities at http://ec.europa.eu/employment_social/fundamental_rights/pubst_en.htm.</w:t>
      </w:r>
    </w:p>
  </w:footnote>
  <w:footnote w:id="542">
    <w:p w14:paraId="0831E426" w14:textId="7E543F7A" w:rsidR="00C13AFA" w:rsidRDefault="00C13AFA">
      <w:pPr>
        <w:pStyle w:val="ad"/>
      </w:pPr>
      <w:r>
        <w:rPr>
          <w:rStyle w:val="ae"/>
        </w:rPr>
        <w:footnoteRef/>
      </w:r>
      <w:r>
        <w:t xml:space="preserve"> </w:t>
      </w:r>
      <w:r w:rsidRPr="006F750A">
        <w:t>Paul Davies and Mark Freedland, TOWARDS A FLEXIBLE LABOUR MARKET, Oxford University Press, 2007, p. 85.</w:t>
      </w:r>
    </w:p>
  </w:footnote>
  <w:footnote w:id="543">
    <w:p w14:paraId="59227FFC" w14:textId="27CCFA5A" w:rsidR="00C13AFA" w:rsidRDefault="00C13AFA">
      <w:pPr>
        <w:pStyle w:val="ad"/>
      </w:pPr>
      <w:r>
        <w:rPr>
          <w:rStyle w:val="ae"/>
        </w:rPr>
        <w:footnoteRef/>
      </w:r>
      <w:r>
        <w:t xml:space="preserve"> </w:t>
      </w:r>
      <w:r w:rsidRPr="006F750A">
        <w:t xml:space="preserve">A valuable survey of the complete set of issues is provided by S </w:t>
      </w:r>
      <w:proofErr w:type="spellStart"/>
      <w:r w:rsidRPr="006F750A">
        <w:t>Fredman</w:t>
      </w:r>
      <w:proofErr w:type="spellEnd"/>
      <w:r w:rsidRPr="006F750A">
        <w:t xml:space="preserve"> and S Spencer (eds), Age as an Equality Issue: Legal and Policy Perspectives (Oxford and Portland, Oregon: Hart Publishing, 2003).</w:t>
      </w:r>
    </w:p>
  </w:footnote>
  <w:footnote w:id="544">
    <w:p w14:paraId="68FC4344" w14:textId="1579A003" w:rsidR="00C13AFA" w:rsidRDefault="00C13AFA">
      <w:pPr>
        <w:pStyle w:val="ad"/>
      </w:pPr>
      <w:r>
        <w:rPr>
          <w:rStyle w:val="ae"/>
        </w:rPr>
        <w:footnoteRef/>
      </w:r>
      <w:r>
        <w:t xml:space="preserve"> </w:t>
      </w:r>
      <w:r w:rsidRPr="006F750A">
        <w:t xml:space="preserve">By the publication by the DTI in December 2001 of the consultation document Towards Equality and Diversity; this was followed by three further consultation </w:t>
      </w:r>
      <w:proofErr w:type="gramStart"/>
      <w:r w:rsidRPr="006F750A">
        <w:t>document</w:t>
      </w:r>
      <w:proofErr w:type="gramEnd"/>
      <w:r w:rsidRPr="006F750A">
        <w:t>: Equality and Diversity-The Way Ahead in October 2002, Equality and Diversity- Age Matters in July 2003, and Equality and Diversity-Coming of Age in July 2005.</w:t>
      </w:r>
    </w:p>
  </w:footnote>
  <w:footnote w:id="545">
    <w:p w14:paraId="4B40ECB4" w14:textId="635889F8" w:rsidR="00C13AFA" w:rsidRDefault="00C13AFA">
      <w:pPr>
        <w:pStyle w:val="ad"/>
      </w:pPr>
      <w:r>
        <w:rPr>
          <w:rStyle w:val="ae"/>
        </w:rPr>
        <w:footnoteRef/>
      </w:r>
      <w:r>
        <w:t xml:space="preserve"> </w:t>
      </w:r>
      <w:r w:rsidRPr="006F750A">
        <w:t>The Employment Equality (Age) Regulations 2006, SI 2006/1031. In September 2006 the Department of Work and Pensions announced a two-month deferment of the provisions of the Regulations relating to pensions.</w:t>
      </w:r>
    </w:p>
  </w:footnote>
  <w:footnote w:id="546">
    <w:p w14:paraId="25CCB57B" w14:textId="3D59DBBA" w:rsidR="00C13AFA" w:rsidRDefault="00C13AFA">
      <w:pPr>
        <w:pStyle w:val="ad"/>
      </w:pPr>
      <w:r>
        <w:rPr>
          <w:rStyle w:val="ae"/>
        </w:rPr>
        <w:footnoteRef/>
      </w:r>
      <w:r>
        <w:t xml:space="preserve"> </w:t>
      </w:r>
      <w:r w:rsidRPr="006F750A">
        <w:t>Paul Davies and Mark Freedland, TOWARDS A FLEXIBLE LABOUR MARKET, Oxford University Press, 2007, p. 86.</w:t>
      </w:r>
    </w:p>
  </w:footnote>
  <w:footnote w:id="547">
    <w:p w14:paraId="068F9757" w14:textId="4799A8D8" w:rsidR="00C13AFA" w:rsidRDefault="00C13AFA">
      <w:pPr>
        <w:pStyle w:val="ad"/>
      </w:pPr>
      <w:r>
        <w:rPr>
          <w:rStyle w:val="ae"/>
        </w:rPr>
        <w:footnoteRef/>
      </w:r>
      <w:r>
        <w:t xml:space="preserve"> </w:t>
      </w:r>
      <w:r w:rsidRPr="006F750A">
        <w:t>A useful account of the legislative methodology is provided by the Explanatory Memorandum to the Employment Equality (Age) Regulations 2006 which the DTI provided for the Joint Committee on Statutory Instruments.</w:t>
      </w:r>
    </w:p>
  </w:footnote>
  <w:footnote w:id="548">
    <w:p w14:paraId="4B18D26D" w14:textId="2DC603E4" w:rsidR="00C13AFA" w:rsidRDefault="00C13AFA">
      <w:pPr>
        <w:pStyle w:val="ad"/>
      </w:pPr>
      <w:r>
        <w:rPr>
          <w:rStyle w:val="ae"/>
        </w:rPr>
        <w:footnoteRef/>
      </w:r>
      <w:r>
        <w:t xml:space="preserve"> </w:t>
      </w:r>
      <w:r w:rsidRPr="006F750A">
        <w:t>This is a summary of the effect of reg 30 and Sch 8, para 23 inserting new Employment Rights Act 1996, ss 98ZA-98ZF.</w:t>
      </w:r>
    </w:p>
  </w:footnote>
  <w:footnote w:id="549">
    <w:p w14:paraId="11939016" w14:textId="359C2383" w:rsidR="00C13AFA" w:rsidRDefault="00C13AFA">
      <w:pPr>
        <w:pStyle w:val="ad"/>
      </w:pPr>
      <w:r>
        <w:rPr>
          <w:rStyle w:val="ae"/>
        </w:rPr>
        <w:footnoteRef/>
      </w:r>
      <w:r>
        <w:t xml:space="preserve"> </w:t>
      </w:r>
      <w:r w:rsidRPr="006F750A">
        <w:t>Reg 47 and Sch 6.</w:t>
      </w:r>
    </w:p>
  </w:footnote>
  <w:footnote w:id="550">
    <w:p w14:paraId="7BFEEA60" w14:textId="70059429" w:rsidR="00C13AFA" w:rsidRDefault="00C13AFA">
      <w:pPr>
        <w:pStyle w:val="ad"/>
      </w:pPr>
      <w:r>
        <w:rPr>
          <w:rStyle w:val="ae"/>
        </w:rPr>
        <w:footnoteRef/>
      </w:r>
      <w:r>
        <w:t xml:space="preserve"> </w:t>
      </w:r>
      <w:r w:rsidRPr="006F750A">
        <w:t>S 80G(1)(</w:t>
      </w:r>
      <w:proofErr w:type="gramStart"/>
      <w:r w:rsidRPr="006F750A">
        <w:t>b)(</w:t>
      </w:r>
      <w:proofErr w:type="gramEnd"/>
      <w:r w:rsidRPr="006F750A">
        <w:t>ⅰ)-(ⅸ)</w:t>
      </w:r>
    </w:p>
  </w:footnote>
  <w:footnote w:id="551">
    <w:p w14:paraId="3DC961C6" w14:textId="0350CCD3" w:rsidR="00C13AFA" w:rsidRDefault="00C13AFA">
      <w:pPr>
        <w:pStyle w:val="ad"/>
      </w:pPr>
      <w:r>
        <w:rPr>
          <w:rStyle w:val="ae"/>
        </w:rPr>
        <w:footnoteRef/>
      </w:r>
      <w:r>
        <w:t xml:space="preserve"> </w:t>
      </w:r>
      <w:r w:rsidRPr="006F750A">
        <w:t>Paul Davies and Mark Freedland, TOWARDS A FLEXIBLE LABOUR MARKET, Oxford University Press, 2007, p. 86.</w:t>
      </w:r>
    </w:p>
  </w:footnote>
  <w:footnote w:id="552">
    <w:p w14:paraId="784B47E2" w14:textId="039F7C83" w:rsidR="00C13AFA" w:rsidRDefault="00C13AFA">
      <w:pPr>
        <w:pStyle w:val="ad"/>
      </w:pPr>
      <w:r>
        <w:rPr>
          <w:rStyle w:val="ae"/>
        </w:rPr>
        <w:footnoteRef/>
      </w:r>
      <w:r>
        <w:t xml:space="preserve"> </w:t>
      </w:r>
      <w:r w:rsidRPr="006F750A">
        <w:t>2006 Regulations, Sch 6, para 8.</w:t>
      </w:r>
    </w:p>
  </w:footnote>
  <w:footnote w:id="553">
    <w:p w14:paraId="78010251" w14:textId="5B9D07ED" w:rsidR="00C13AFA" w:rsidRDefault="00C13AFA">
      <w:pPr>
        <w:pStyle w:val="ad"/>
      </w:pPr>
      <w:r>
        <w:rPr>
          <w:rStyle w:val="ae"/>
        </w:rPr>
        <w:footnoteRef/>
      </w:r>
      <w:r>
        <w:t xml:space="preserve"> </w:t>
      </w:r>
      <w:r w:rsidRPr="006F750A">
        <w:t>Paul Davies and Mark Freedland, TOWARDS A FLEXIBLE LABOUR MARKET, Oxford University Press, 2007, p. 86.</w:t>
      </w:r>
    </w:p>
  </w:footnote>
  <w:footnote w:id="554">
    <w:p w14:paraId="7D945213" w14:textId="6EECA86A" w:rsidR="00C13AFA" w:rsidRDefault="00C13AFA">
      <w:pPr>
        <w:pStyle w:val="ad"/>
      </w:pPr>
      <w:r>
        <w:rPr>
          <w:rStyle w:val="ae"/>
        </w:rPr>
        <w:footnoteRef/>
      </w:r>
      <w:r>
        <w:t xml:space="preserve"> </w:t>
      </w:r>
      <w:r w:rsidRPr="006F750A">
        <w:t>Paul Davies and Mark Freedland, TOWARDS A FLEXIBLE LABOUR MARKET, Oxford University Press, 2007, p. 87.</w:t>
      </w:r>
    </w:p>
  </w:footnote>
  <w:footnote w:id="555">
    <w:p w14:paraId="52495B1E" w14:textId="1D1E7618" w:rsidR="00C13AFA" w:rsidRDefault="00C13AFA">
      <w:pPr>
        <w:pStyle w:val="ad"/>
      </w:pPr>
      <w:r>
        <w:rPr>
          <w:rStyle w:val="ae"/>
        </w:rPr>
        <w:footnoteRef/>
      </w:r>
      <w:r>
        <w:t xml:space="preserve"> </w:t>
      </w:r>
      <w:r w:rsidRPr="006F750A">
        <w:t>Paul Davies and Mark Freedland, TOWARDS A FLEXIBLE LABOUR MARKET, Oxford University Press, 2007, p. 87.</w:t>
      </w:r>
    </w:p>
  </w:footnote>
  <w:footnote w:id="556">
    <w:p w14:paraId="59486034" w14:textId="1A607D73" w:rsidR="00C13AFA" w:rsidRDefault="00C13AFA">
      <w:pPr>
        <w:pStyle w:val="ad"/>
      </w:pPr>
      <w:r>
        <w:rPr>
          <w:rStyle w:val="ae"/>
        </w:rPr>
        <w:footnoteRef/>
      </w:r>
      <w:r>
        <w:t xml:space="preserve"> </w:t>
      </w:r>
      <w:r w:rsidRPr="006F750A">
        <w:t>Council Directive of 28 June 1999 concerning the framework agreement on fixed-term work concluded by ETUC, UNICE, and CEEP 99/70/</w:t>
      </w:r>
      <w:proofErr w:type="spellStart"/>
      <w:r w:rsidRPr="006F750A">
        <w:t>ec</w:t>
      </w:r>
      <w:proofErr w:type="spellEnd"/>
      <w:r w:rsidRPr="006F750A">
        <w:t xml:space="preserve"> (OJ 2000 L175/175, 10 July 1999.</w:t>
      </w:r>
    </w:p>
  </w:footnote>
  <w:footnote w:id="557">
    <w:p w14:paraId="184ECB9A" w14:textId="304C0022" w:rsidR="00C13AFA" w:rsidRDefault="00C13AFA">
      <w:pPr>
        <w:pStyle w:val="ad"/>
      </w:pPr>
      <w:r>
        <w:rPr>
          <w:rStyle w:val="ae"/>
        </w:rPr>
        <w:footnoteRef/>
      </w:r>
      <w:r>
        <w:t xml:space="preserve"> </w:t>
      </w:r>
      <w:r w:rsidRPr="006F750A">
        <w:t>Agreement, cl 4.</w:t>
      </w:r>
    </w:p>
  </w:footnote>
  <w:footnote w:id="558">
    <w:p w14:paraId="5B8B9220" w14:textId="5564526E" w:rsidR="00C13AFA" w:rsidRDefault="00C13AFA">
      <w:pPr>
        <w:pStyle w:val="ad"/>
      </w:pPr>
      <w:r>
        <w:rPr>
          <w:rStyle w:val="ae"/>
        </w:rPr>
        <w:footnoteRef/>
      </w:r>
      <w:r>
        <w:t xml:space="preserve"> </w:t>
      </w:r>
      <w:r w:rsidRPr="006F750A">
        <w:t>Agreement, cl 5.</w:t>
      </w:r>
    </w:p>
  </w:footnote>
  <w:footnote w:id="559">
    <w:p w14:paraId="743FE157" w14:textId="51F7E878" w:rsidR="00C13AFA" w:rsidRDefault="00C13AFA">
      <w:pPr>
        <w:pStyle w:val="ad"/>
      </w:pPr>
      <w:r>
        <w:rPr>
          <w:rStyle w:val="ae"/>
        </w:rPr>
        <w:footnoteRef/>
      </w:r>
      <w:r>
        <w:t xml:space="preserve"> </w:t>
      </w:r>
      <w:r w:rsidRPr="006F750A">
        <w:t>Paul Davies and Mark Freedland, TOWARDS A FLEXIBLE LABOUR MARKET, Oxford University Press, 2007, p. 87.</w:t>
      </w:r>
    </w:p>
  </w:footnote>
  <w:footnote w:id="560">
    <w:p w14:paraId="0F9E2C57" w14:textId="78E760ED" w:rsidR="00C13AFA" w:rsidRDefault="00C13AFA">
      <w:pPr>
        <w:pStyle w:val="ad"/>
      </w:pPr>
      <w:r>
        <w:rPr>
          <w:rStyle w:val="ae"/>
        </w:rPr>
        <w:footnoteRef/>
      </w:r>
      <w:r>
        <w:t xml:space="preserve"> </w:t>
      </w:r>
      <w:r w:rsidRPr="006F750A">
        <w:t xml:space="preserve">A </w:t>
      </w:r>
      <w:proofErr w:type="spellStart"/>
      <w:r w:rsidRPr="006F750A">
        <w:t>McColgan</w:t>
      </w:r>
      <w:proofErr w:type="spellEnd"/>
      <w:r w:rsidRPr="006F750A">
        <w:t xml:space="preserve">, ‘The Fixed-Term Employees (Prevention of Less </w:t>
      </w:r>
      <w:proofErr w:type="spellStart"/>
      <w:r w:rsidRPr="006F750A">
        <w:t>Favourable</w:t>
      </w:r>
      <w:proofErr w:type="spellEnd"/>
      <w:r w:rsidRPr="006F750A">
        <w:t xml:space="preserve"> Treatment) Regulations 2002: Fiddling While Rome Burns?’ (2003) 32 ILJ 194 at 195.</w:t>
      </w:r>
    </w:p>
  </w:footnote>
  <w:footnote w:id="561">
    <w:p w14:paraId="3DB898DA" w14:textId="1505DE31" w:rsidR="00C13AFA" w:rsidRDefault="00C13AFA">
      <w:pPr>
        <w:pStyle w:val="ad"/>
      </w:pPr>
      <w:r>
        <w:rPr>
          <w:rStyle w:val="ae"/>
        </w:rPr>
        <w:footnoteRef/>
      </w:r>
      <w:r>
        <w:t xml:space="preserve"> </w:t>
      </w:r>
      <w:r w:rsidRPr="006F750A">
        <w:t>Regs 1 and 2, defining ‘fixed-term employee’, and deploying the notion of the ‘comparable permanent employee’.</w:t>
      </w:r>
    </w:p>
  </w:footnote>
  <w:footnote w:id="562">
    <w:p w14:paraId="634695F8" w14:textId="02292D53" w:rsidR="00C13AFA" w:rsidRDefault="00C13AFA">
      <w:pPr>
        <w:pStyle w:val="ad"/>
      </w:pPr>
      <w:r>
        <w:rPr>
          <w:rStyle w:val="ae"/>
        </w:rPr>
        <w:footnoteRef/>
      </w:r>
      <w:r>
        <w:t xml:space="preserve"> </w:t>
      </w:r>
      <w:r w:rsidRPr="006F750A">
        <w:t xml:space="preserve">See the Department of Trade and Industry News Release P/2000/305 of 3 May </w:t>
      </w:r>
      <w:proofErr w:type="gramStart"/>
      <w:r w:rsidRPr="006F750A">
        <w:t>2000,  ‘</w:t>
      </w:r>
      <w:proofErr w:type="gramEnd"/>
      <w:r w:rsidRPr="006F750A">
        <w:t xml:space="preserve">More People to Reap Benefits of Working Part-time’- </w:t>
      </w:r>
      <w:proofErr w:type="spellStart"/>
      <w:r w:rsidRPr="006F750A">
        <w:t>Mr</w:t>
      </w:r>
      <w:proofErr w:type="spellEnd"/>
      <w:r w:rsidRPr="006F750A">
        <w:t xml:space="preserve"> Stephen Byers, Secretary of State for Trade and Industry.</w:t>
      </w:r>
    </w:p>
  </w:footnote>
  <w:footnote w:id="563">
    <w:p w14:paraId="6A0801AC" w14:textId="2E5F716D" w:rsidR="00C13AFA" w:rsidRDefault="00C13AFA">
      <w:pPr>
        <w:pStyle w:val="ad"/>
      </w:pPr>
      <w:r>
        <w:rPr>
          <w:rStyle w:val="ae"/>
        </w:rPr>
        <w:footnoteRef/>
      </w:r>
      <w:r>
        <w:t xml:space="preserve"> </w:t>
      </w:r>
      <w:r w:rsidRPr="006F750A">
        <w:t>Part-time Work Agreement, cl 2.1: ‘This agreement applies to part-time workers who have an employment contract or employment relationship as defined by the law, collective agreement or practice in force in each Member State.’</w:t>
      </w:r>
    </w:p>
  </w:footnote>
  <w:footnote w:id="564">
    <w:p w14:paraId="5586CA68" w14:textId="71E25C48" w:rsidR="00C13AFA" w:rsidRDefault="00C13AFA">
      <w:pPr>
        <w:pStyle w:val="ad"/>
      </w:pPr>
      <w:r>
        <w:rPr>
          <w:rStyle w:val="ae"/>
        </w:rPr>
        <w:footnoteRef/>
      </w:r>
      <w:r>
        <w:t xml:space="preserve"> </w:t>
      </w:r>
      <w:r w:rsidRPr="006F750A">
        <w:t>Another symptom of this loss of interest was the failure to follow up on the review of employment status initiated by the DTI in 2002 to consider possible use of the extending powers conferred by the Employment Relations Act 1999, s 23.</w:t>
      </w:r>
    </w:p>
  </w:footnote>
  <w:footnote w:id="565">
    <w:p w14:paraId="307DD566" w14:textId="754D4D12" w:rsidR="00C13AFA" w:rsidRDefault="00C13AFA">
      <w:pPr>
        <w:pStyle w:val="ad"/>
      </w:pPr>
      <w:r>
        <w:rPr>
          <w:rStyle w:val="ae"/>
        </w:rPr>
        <w:footnoteRef/>
      </w:r>
      <w:r>
        <w:t xml:space="preserve"> </w:t>
      </w:r>
      <w:r w:rsidRPr="006F750A">
        <w:t>Reg 8 (Successive fixed-term contracts)</w:t>
      </w:r>
    </w:p>
  </w:footnote>
  <w:footnote w:id="566">
    <w:p w14:paraId="681601B1" w14:textId="7AE12527" w:rsidR="00C13AFA" w:rsidRDefault="00C13AFA">
      <w:pPr>
        <w:pStyle w:val="ad"/>
      </w:pPr>
      <w:r>
        <w:rPr>
          <w:rStyle w:val="ae"/>
        </w:rPr>
        <w:footnoteRef/>
      </w:r>
      <w:r>
        <w:t xml:space="preserve"> </w:t>
      </w:r>
      <w:r w:rsidRPr="006F750A">
        <w:t>Reg 8(2)(b).</w:t>
      </w:r>
    </w:p>
  </w:footnote>
  <w:footnote w:id="567">
    <w:p w14:paraId="383BCD7D" w14:textId="7495552B" w:rsidR="00C13AFA" w:rsidRDefault="00C13AFA">
      <w:pPr>
        <w:pStyle w:val="ad"/>
      </w:pPr>
      <w:r>
        <w:rPr>
          <w:rStyle w:val="ae"/>
        </w:rPr>
        <w:footnoteRef/>
      </w:r>
      <w:r>
        <w:t xml:space="preserve"> </w:t>
      </w:r>
      <w:r w:rsidRPr="00C46AC1">
        <w:t>Reg 8(2)(a).</w:t>
      </w:r>
    </w:p>
  </w:footnote>
  <w:footnote w:id="568">
    <w:p w14:paraId="1E6D6245" w14:textId="302C8CA8" w:rsidR="00C13AFA" w:rsidRDefault="00C13AFA">
      <w:pPr>
        <w:pStyle w:val="ad"/>
      </w:pPr>
      <w:r>
        <w:rPr>
          <w:rStyle w:val="ae"/>
        </w:rPr>
        <w:footnoteRef/>
      </w:r>
      <w:r>
        <w:t xml:space="preserve"> </w:t>
      </w:r>
      <w:r w:rsidRPr="00C46AC1">
        <w:t>Paul Davies and Mark Freedland, TOWARDS A FLEXIBLE LABOUR MARKET, Oxford University Press, 2007, p. 88.</w:t>
      </w:r>
    </w:p>
  </w:footnote>
  <w:footnote w:id="569">
    <w:p w14:paraId="1EA600B9" w14:textId="4CA89DB5" w:rsidR="00C13AFA" w:rsidRDefault="00C13AFA">
      <w:pPr>
        <w:pStyle w:val="ad"/>
      </w:pPr>
      <w:r>
        <w:rPr>
          <w:rStyle w:val="ae"/>
        </w:rPr>
        <w:footnoteRef/>
      </w:r>
      <w:r>
        <w:t xml:space="preserve"> </w:t>
      </w:r>
      <w:r w:rsidRPr="00C46AC1">
        <w:t>Paul Davies and Mark Freedland, TOWARDS A FLEXIBLE LABOUR MARKET, Oxford University Press, 2007, p. 88-89.</w:t>
      </w:r>
    </w:p>
  </w:footnote>
  <w:footnote w:id="570">
    <w:p w14:paraId="3B8704F1" w14:textId="43CF98F2" w:rsidR="00C13AFA" w:rsidRDefault="00C13AFA">
      <w:pPr>
        <w:pStyle w:val="ad"/>
      </w:pPr>
      <w:r>
        <w:rPr>
          <w:rStyle w:val="ae"/>
        </w:rPr>
        <w:footnoteRef/>
      </w:r>
      <w:r>
        <w:t xml:space="preserve"> </w:t>
      </w:r>
      <w:r w:rsidRPr="00C46AC1">
        <w:t>COM (2002) 149, 20 March 2002. For the full history, see L Zappala in ‘The Temporary Agency Workers’ Directive: An Impossible Political Agreement?’ (2003) 32 ILJ 310.</w:t>
      </w:r>
    </w:p>
  </w:footnote>
  <w:footnote w:id="571">
    <w:p w14:paraId="2A0B588F" w14:textId="5B0BCA79" w:rsidR="00C13AFA" w:rsidRDefault="00C13AFA">
      <w:pPr>
        <w:pStyle w:val="ad"/>
      </w:pPr>
      <w:r>
        <w:rPr>
          <w:rStyle w:val="ae"/>
        </w:rPr>
        <w:footnoteRef/>
      </w:r>
      <w:r>
        <w:t xml:space="preserve"> </w:t>
      </w:r>
      <w:r w:rsidRPr="00C46AC1">
        <w:t>See M Freedland, The Personal Employment Contract (Oxford: OUP, 2003) at 43-45.</w:t>
      </w:r>
    </w:p>
  </w:footnote>
  <w:footnote w:id="572">
    <w:p w14:paraId="6EFF4BE1" w14:textId="487F08BF" w:rsidR="00C13AFA" w:rsidRDefault="00C13AFA">
      <w:pPr>
        <w:pStyle w:val="ad"/>
      </w:pPr>
      <w:r>
        <w:rPr>
          <w:rStyle w:val="ae"/>
        </w:rPr>
        <w:footnoteRef/>
      </w:r>
      <w:r>
        <w:t xml:space="preserve"> </w:t>
      </w:r>
      <w:r w:rsidRPr="00C46AC1">
        <w:t>The Conduct of Employment Agencies and Employment Businesses Regulations 2003, SI 2003/3319.</w:t>
      </w:r>
    </w:p>
  </w:footnote>
  <w:footnote w:id="573">
    <w:p w14:paraId="3067127B" w14:textId="137C7AAD" w:rsidR="00C13AFA" w:rsidRDefault="00C13AFA">
      <w:pPr>
        <w:pStyle w:val="ad"/>
      </w:pPr>
      <w:r>
        <w:rPr>
          <w:rStyle w:val="ae"/>
        </w:rPr>
        <w:footnoteRef/>
      </w:r>
      <w:r>
        <w:t xml:space="preserve"> </w:t>
      </w:r>
      <w:r w:rsidRPr="00C46AC1">
        <w:t xml:space="preserve">For instance, in the presentation for approval of the draft Regulations to the House of Lords by Lord Sainsbury of </w:t>
      </w:r>
      <w:proofErr w:type="spellStart"/>
      <w:r w:rsidRPr="00C46AC1">
        <w:t>Turville</w:t>
      </w:r>
      <w:proofErr w:type="spellEnd"/>
      <w:r w:rsidRPr="00C46AC1">
        <w:t>, Hansard, HL (series 5) vol 655, col 1331 (18 December 2003): ‘The Government’s main objective in putting forward these draft regulations is to safeguard the rights of work-seekers, the interest of hirers and employers and the needs of the private recruitment industry.’</w:t>
      </w:r>
    </w:p>
  </w:footnote>
  <w:footnote w:id="574">
    <w:p w14:paraId="676D577B" w14:textId="43CBD227" w:rsidR="00C13AFA" w:rsidRDefault="00C13AFA">
      <w:pPr>
        <w:pStyle w:val="ad"/>
      </w:pPr>
      <w:r>
        <w:rPr>
          <w:rStyle w:val="ae"/>
        </w:rPr>
        <w:footnoteRef/>
      </w:r>
      <w:r>
        <w:t xml:space="preserve"> </w:t>
      </w:r>
      <w:r w:rsidRPr="00C46AC1">
        <w:t>Reg 10. The complexity of the debate about whether it is in the interests of temporary agency workers to restrict ‘temp-to-perm fees’ is indicated by the ambivalence of the treatment of this issue in the proposals for a ‘Temporary Agency Workers Directive: see L Zappala in ‘Temporary Agency Worker’s Directive: An Impossible Political Agreement?’ (2003) 32 ILJ 310. At 313-314.</w:t>
      </w:r>
    </w:p>
  </w:footnote>
  <w:footnote w:id="575">
    <w:p w14:paraId="4859F746" w14:textId="6B60D4A4" w:rsidR="00C13AFA" w:rsidRDefault="00C13AFA">
      <w:pPr>
        <w:pStyle w:val="ad"/>
      </w:pPr>
      <w:r>
        <w:rPr>
          <w:rStyle w:val="ae"/>
        </w:rPr>
        <w:footnoteRef/>
      </w:r>
      <w:r>
        <w:t xml:space="preserve"> </w:t>
      </w:r>
      <w:r w:rsidRPr="00C46AC1">
        <w:t>Paul Davies and Mark Freedland, TOWARDS A FLEXIBLE LABOUR MARKET, Oxford University Press, 2007, p. 90.</w:t>
      </w:r>
    </w:p>
  </w:footnote>
  <w:footnote w:id="576">
    <w:p w14:paraId="1D6B4C90" w14:textId="060D880D" w:rsidR="00C13AFA" w:rsidRDefault="00C13AFA">
      <w:pPr>
        <w:pStyle w:val="ad"/>
      </w:pPr>
      <w:r>
        <w:rPr>
          <w:rStyle w:val="ae"/>
        </w:rPr>
        <w:footnoteRef/>
      </w:r>
      <w:r>
        <w:t xml:space="preserve"> </w:t>
      </w:r>
      <w:r w:rsidRPr="00C46AC1">
        <w:t>Paul Davies and Mark Freedland, TOWARDS A FLEXIBLE LABOUR MARKET, Oxford University Press, 2007, p. 90.</w:t>
      </w:r>
    </w:p>
  </w:footnote>
  <w:footnote w:id="577">
    <w:p w14:paraId="6FB1EA39" w14:textId="2FBA8BA4" w:rsidR="00C13AFA" w:rsidRDefault="00C13AFA">
      <w:pPr>
        <w:pStyle w:val="ad"/>
      </w:pPr>
      <w:r>
        <w:rPr>
          <w:rStyle w:val="ae"/>
        </w:rPr>
        <w:footnoteRef/>
      </w:r>
      <w:r>
        <w:t xml:space="preserve"> </w:t>
      </w:r>
      <w:r w:rsidRPr="00C46AC1">
        <w:t xml:space="preserve">European Commission Memo/05/340 on Better Regulation, 27 September 2005; DG Enterprise Communication’, ‘Outcome of the screening of legislative proposals pending before the Legislator’, </w:t>
      </w:r>
      <w:proofErr w:type="gramStart"/>
      <w:r w:rsidRPr="00C46AC1">
        <w:t>COM(</w:t>
      </w:r>
      <w:proofErr w:type="gramEnd"/>
      <w:r w:rsidRPr="00C46AC1">
        <w:t>2005) 462 final (27 September 2005) at p.4.</w:t>
      </w:r>
    </w:p>
  </w:footnote>
  <w:footnote w:id="578">
    <w:p w14:paraId="1A9DFFAB" w14:textId="28168766" w:rsidR="00C13AFA" w:rsidRDefault="00C13AFA">
      <w:pPr>
        <w:pStyle w:val="ad"/>
      </w:pPr>
      <w:r>
        <w:rPr>
          <w:rStyle w:val="ae"/>
        </w:rPr>
        <w:footnoteRef/>
      </w:r>
      <w:r>
        <w:t xml:space="preserve"> </w:t>
      </w:r>
      <w:r w:rsidRPr="00C46AC1">
        <w:t>Paul Davies and Mark Freedland, TOWARDS A FLEXIBLE LABOUR MARKET, Oxford University Press, 2007, p. 91.</w:t>
      </w:r>
    </w:p>
  </w:footnote>
  <w:footnote w:id="579">
    <w:p w14:paraId="496C1B29" w14:textId="47F8AA64" w:rsidR="00C13AFA" w:rsidRDefault="00C13AFA">
      <w:pPr>
        <w:pStyle w:val="ad"/>
      </w:pPr>
      <w:r>
        <w:rPr>
          <w:rStyle w:val="ae"/>
        </w:rPr>
        <w:footnoteRef/>
      </w:r>
      <w:r>
        <w:t xml:space="preserve"> </w:t>
      </w:r>
      <w:r w:rsidRPr="00C46AC1">
        <w:t>Paul Davies and Mark Freedland, TOWARDS A FLEXIBLE LABOUR MARKET, Oxford University Press, 2007, p.91.</w:t>
      </w:r>
    </w:p>
  </w:footnote>
  <w:footnote w:id="580">
    <w:p w14:paraId="01E74A4C" w14:textId="43313FE3" w:rsidR="00C13AFA" w:rsidRDefault="00C13AFA">
      <w:pPr>
        <w:pStyle w:val="ad"/>
      </w:pPr>
      <w:r>
        <w:rPr>
          <w:rStyle w:val="ae"/>
        </w:rPr>
        <w:footnoteRef/>
      </w:r>
      <w:r>
        <w:t xml:space="preserve"> </w:t>
      </w:r>
      <w:r w:rsidRPr="00C46AC1">
        <w:t>Paul Davies and Mark Freedland, TOWARDS A FLEXIBLE LABOUR MARKET, Oxford University Press, 2007, p.91.</w:t>
      </w:r>
    </w:p>
  </w:footnote>
  <w:footnote w:id="581">
    <w:p w14:paraId="5AAA7723" w14:textId="22FFFFD1" w:rsidR="00C13AFA" w:rsidRDefault="00C13AFA">
      <w:pPr>
        <w:pStyle w:val="ad"/>
      </w:pPr>
      <w:r>
        <w:rPr>
          <w:rStyle w:val="ae"/>
        </w:rPr>
        <w:footnoteRef/>
      </w:r>
      <w:r>
        <w:t xml:space="preserve"> </w:t>
      </w:r>
      <w:r w:rsidRPr="00C46AC1">
        <w:t>Paul Davies and Mark Freedland, TOWARDS A FLEXIBLE LABOUR MARKET, Oxford University Press, 2007, p.98.</w:t>
      </w:r>
    </w:p>
  </w:footnote>
  <w:footnote w:id="582">
    <w:p w14:paraId="1C9DEEEB" w14:textId="2A444A19" w:rsidR="00C13AFA" w:rsidRDefault="00C13AFA">
      <w:pPr>
        <w:pStyle w:val="ad"/>
      </w:pPr>
      <w:r>
        <w:rPr>
          <w:rStyle w:val="ae"/>
        </w:rPr>
        <w:footnoteRef/>
      </w:r>
      <w:r>
        <w:t xml:space="preserve"> </w:t>
      </w:r>
      <w:r w:rsidRPr="00C46AC1">
        <w:t>Paul Davies and Mark Freedland, TOWARDS A FLEXIBLE LABOUR MARKET, Oxford University Press, 2007, p.99.</w:t>
      </w:r>
    </w:p>
  </w:footnote>
  <w:footnote w:id="583">
    <w:p w14:paraId="38216A73" w14:textId="3F4BAF08" w:rsidR="00C13AFA" w:rsidRDefault="00C13AFA">
      <w:pPr>
        <w:pStyle w:val="ad"/>
      </w:pPr>
      <w:r>
        <w:rPr>
          <w:rStyle w:val="ae"/>
        </w:rPr>
        <w:footnoteRef/>
      </w:r>
      <w:r>
        <w:t xml:space="preserve"> </w:t>
      </w:r>
      <w:r w:rsidRPr="00C46AC1">
        <w:t>Paul Davies and Mark Freedland, TOWARDS A FLEXIBLE LABOUR MARKET, Oxford University Press, 2007, p.99.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C07E1"/>
    <w:multiLevelType w:val="hybridMultilevel"/>
    <w:tmpl w:val="3B38212C"/>
    <w:lvl w:ilvl="0" w:tplc="7D582A08">
      <w:start w:val="1"/>
      <w:numFmt w:val="upperRoman"/>
      <w:lvlText w:val="%1."/>
      <w:lvlJc w:val="left"/>
      <w:pPr>
        <w:ind w:left="1200" w:hanging="400"/>
      </w:pPr>
      <w:rPr>
        <w:rFonts w:hint="eastAsia"/>
      </w:rPr>
    </w:lvl>
    <w:lvl w:ilvl="1" w:tplc="04090019" w:tentative="1">
      <w:start w:val="1"/>
      <w:numFmt w:val="upperLetter"/>
      <w:lvlText w:val="%2."/>
      <w:lvlJc w:val="left"/>
      <w:pPr>
        <w:ind w:left="1600" w:hanging="400"/>
      </w:pPr>
    </w:lvl>
    <w:lvl w:ilvl="2" w:tplc="0409001B" w:tentative="1">
      <w:start w:val="1"/>
      <w:numFmt w:val="lowerRoman"/>
      <w:lvlText w:val="%3."/>
      <w:lvlJc w:val="right"/>
      <w:pPr>
        <w:ind w:left="2000" w:hanging="400"/>
      </w:pPr>
    </w:lvl>
    <w:lvl w:ilvl="3" w:tplc="0409000F" w:tentative="1">
      <w:start w:val="1"/>
      <w:numFmt w:val="decimal"/>
      <w:lvlText w:val="%4."/>
      <w:lvlJc w:val="left"/>
      <w:pPr>
        <w:ind w:left="2400" w:hanging="400"/>
      </w:pPr>
    </w:lvl>
    <w:lvl w:ilvl="4" w:tplc="04090019" w:tentative="1">
      <w:start w:val="1"/>
      <w:numFmt w:val="upperLetter"/>
      <w:lvlText w:val="%5."/>
      <w:lvlJc w:val="left"/>
      <w:pPr>
        <w:ind w:left="2800" w:hanging="400"/>
      </w:pPr>
    </w:lvl>
    <w:lvl w:ilvl="5" w:tplc="0409001B" w:tentative="1">
      <w:start w:val="1"/>
      <w:numFmt w:val="lowerRoman"/>
      <w:lvlText w:val="%6."/>
      <w:lvlJc w:val="right"/>
      <w:pPr>
        <w:ind w:left="3200" w:hanging="400"/>
      </w:pPr>
    </w:lvl>
    <w:lvl w:ilvl="6" w:tplc="0409000F" w:tentative="1">
      <w:start w:val="1"/>
      <w:numFmt w:val="decimal"/>
      <w:lvlText w:val="%7."/>
      <w:lvlJc w:val="left"/>
      <w:pPr>
        <w:ind w:left="3600" w:hanging="400"/>
      </w:pPr>
    </w:lvl>
    <w:lvl w:ilvl="7" w:tplc="04090019" w:tentative="1">
      <w:start w:val="1"/>
      <w:numFmt w:val="upperLetter"/>
      <w:lvlText w:val="%8."/>
      <w:lvlJc w:val="left"/>
      <w:pPr>
        <w:ind w:left="4000" w:hanging="400"/>
      </w:pPr>
    </w:lvl>
    <w:lvl w:ilvl="8" w:tplc="0409001B" w:tentative="1">
      <w:start w:val="1"/>
      <w:numFmt w:val="lowerRoman"/>
      <w:lvlText w:val="%9."/>
      <w:lvlJc w:val="right"/>
      <w:pPr>
        <w:ind w:left="4400" w:hanging="400"/>
      </w:pPr>
    </w:lvl>
  </w:abstractNum>
  <w:abstractNum w:abstractNumId="1" w15:restartNumberingAfterBreak="0">
    <w:nsid w:val="06FD48FF"/>
    <w:multiLevelType w:val="hybridMultilevel"/>
    <w:tmpl w:val="DE9A7F1E"/>
    <w:lvl w:ilvl="0" w:tplc="63C85862">
      <w:start w:val="1"/>
      <w:numFmt w:val="decimal"/>
      <w:lvlText w:val="%1."/>
      <w:lvlJc w:val="left"/>
      <w:pPr>
        <w:ind w:left="1120" w:hanging="360"/>
      </w:pPr>
      <w:rPr>
        <w:rFonts w:hint="default"/>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2" w15:restartNumberingAfterBreak="0">
    <w:nsid w:val="13833AB1"/>
    <w:multiLevelType w:val="hybridMultilevel"/>
    <w:tmpl w:val="EF80CA60"/>
    <w:lvl w:ilvl="0" w:tplc="50F6661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15:restartNumberingAfterBreak="0">
    <w:nsid w:val="1A747B2B"/>
    <w:multiLevelType w:val="hybridMultilevel"/>
    <w:tmpl w:val="93C0D336"/>
    <w:lvl w:ilvl="0" w:tplc="26B2FC4C">
      <w:start w:val="1"/>
      <w:numFmt w:val="decimal"/>
      <w:lvlText w:val="(%1)"/>
      <w:lvlJc w:val="left"/>
      <w:pPr>
        <w:ind w:left="1480" w:hanging="360"/>
      </w:pPr>
      <w:rPr>
        <w:rFonts w:hint="default"/>
      </w:rPr>
    </w:lvl>
    <w:lvl w:ilvl="1" w:tplc="04090019" w:tentative="1">
      <w:start w:val="1"/>
      <w:numFmt w:val="upperLetter"/>
      <w:lvlText w:val="%2."/>
      <w:lvlJc w:val="left"/>
      <w:pPr>
        <w:ind w:left="1920" w:hanging="400"/>
      </w:pPr>
    </w:lvl>
    <w:lvl w:ilvl="2" w:tplc="0409001B" w:tentative="1">
      <w:start w:val="1"/>
      <w:numFmt w:val="lowerRoman"/>
      <w:lvlText w:val="%3."/>
      <w:lvlJc w:val="right"/>
      <w:pPr>
        <w:ind w:left="2320" w:hanging="400"/>
      </w:pPr>
    </w:lvl>
    <w:lvl w:ilvl="3" w:tplc="0409000F" w:tentative="1">
      <w:start w:val="1"/>
      <w:numFmt w:val="decimal"/>
      <w:lvlText w:val="%4."/>
      <w:lvlJc w:val="left"/>
      <w:pPr>
        <w:ind w:left="2720" w:hanging="400"/>
      </w:pPr>
    </w:lvl>
    <w:lvl w:ilvl="4" w:tplc="04090019" w:tentative="1">
      <w:start w:val="1"/>
      <w:numFmt w:val="upperLetter"/>
      <w:lvlText w:val="%5."/>
      <w:lvlJc w:val="left"/>
      <w:pPr>
        <w:ind w:left="3120" w:hanging="400"/>
      </w:pPr>
    </w:lvl>
    <w:lvl w:ilvl="5" w:tplc="0409001B" w:tentative="1">
      <w:start w:val="1"/>
      <w:numFmt w:val="lowerRoman"/>
      <w:lvlText w:val="%6."/>
      <w:lvlJc w:val="right"/>
      <w:pPr>
        <w:ind w:left="3520" w:hanging="400"/>
      </w:pPr>
    </w:lvl>
    <w:lvl w:ilvl="6" w:tplc="0409000F" w:tentative="1">
      <w:start w:val="1"/>
      <w:numFmt w:val="decimal"/>
      <w:lvlText w:val="%7."/>
      <w:lvlJc w:val="left"/>
      <w:pPr>
        <w:ind w:left="3920" w:hanging="400"/>
      </w:pPr>
    </w:lvl>
    <w:lvl w:ilvl="7" w:tplc="04090019" w:tentative="1">
      <w:start w:val="1"/>
      <w:numFmt w:val="upperLetter"/>
      <w:lvlText w:val="%8."/>
      <w:lvlJc w:val="left"/>
      <w:pPr>
        <w:ind w:left="4320" w:hanging="400"/>
      </w:pPr>
    </w:lvl>
    <w:lvl w:ilvl="8" w:tplc="0409001B" w:tentative="1">
      <w:start w:val="1"/>
      <w:numFmt w:val="lowerRoman"/>
      <w:lvlText w:val="%9."/>
      <w:lvlJc w:val="right"/>
      <w:pPr>
        <w:ind w:left="4720" w:hanging="400"/>
      </w:pPr>
    </w:lvl>
  </w:abstractNum>
  <w:abstractNum w:abstractNumId="4" w15:restartNumberingAfterBreak="0">
    <w:nsid w:val="1B8F7013"/>
    <w:multiLevelType w:val="hybridMultilevel"/>
    <w:tmpl w:val="8040BBA0"/>
    <w:lvl w:ilvl="0" w:tplc="75081F42">
      <w:start w:val="1"/>
      <w:numFmt w:val="lowerRoman"/>
      <w:lvlText w:val="(%1)"/>
      <w:lvlJc w:val="left"/>
      <w:pPr>
        <w:ind w:left="2240" w:hanging="720"/>
      </w:pPr>
      <w:rPr>
        <w:rFonts w:hint="default"/>
      </w:rPr>
    </w:lvl>
    <w:lvl w:ilvl="1" w:tplc="04090019" w:tentative="1">
      <w:start w:val="1"/>
      <w:numFmt w:val="upperLetter"/>
      <w:lvlText w:val="%2."/>
      <w:lvlJc w:val="left"/>
      <w:pPr>
        <w:ind w:left="2320" w:hanging="400"/>
      </w:pPr>
    </w:lvl>
    <w:lvl w:ilvl="2" w:tplc="0409001B" w:tentative="1">
      <w:start w:val="1"/>
      <w:numFmt w:val="lowerRoman"/>
      <w:lvlText w:val="%3."/>
      <w:lvlJc w:val="right"/>
      <w:pPr>
        <w:ind w:left="2720" w:hanging="400"/>
      </w:pPr>
    </w:lvl>
    <w:lvl w:ilvl="3" w:tplc="0409000F" w:tentative="1">
      <w:start w:val="1"/>
      <w:numFmt w:val="decimal"/>
      <w:lvlText w:val="%4."/>
      <w:lvlJc w:val="left"/>
      <w:pPr>
        <w:ind w:left="3120" w:hanging="400"/>
      </w:pPr>
    </w:lvl>
    <w:lvl w:ilvl="4" w:tplc="04090019" w:tentative="1">
      <w:start w:val="1"/>
      <w:numFmt w:val="upperLetter"/>
      <w:lvlText w:val="%5."/>
      <w:lvlJc w:val="left"/>
      <w:pPr>
        <w:ind w:left="3520" w:hanging="400"/>
      </w:pPr>
    </w:lvl>
    <w:lvl w:ilvl="5" w:tplc="0409001B" w:tentative="1">
      <w:start w:val="1"/>
      <w:numFmt w:val="lowerRoman"/>
      <w:lvlText w:val="%6."/>
      <w:lvlJc w:val="right"/>
      <w:pPr>
        <w:ind w:left="3920" w:hanging="400"/>
      </w:pPr>
    </w:lvl>
    <w:lvl w:ilvl="6" w:tplc="0409000F" w:tentative="1">
      <w:start w:val="1"/>
      <w:numFmt w:val="decimal"/>
      <w:lvlText w:val="%7."/>
      <w:lvlJc w:val="left"/>
      <w:pPr>
        <w:ind w:left="4320" w:hanging="400"/>
      </w:pPr>
    </w:lvl>
    <w:lvl w:ilvl="7" w:tplc="04090019" w:tentative="1">
      <w:start w:val="1"/>
      <w:numFmt w:val="upperLetter"/>
      <w:lvlText w:val="%8."/>
      <w:lvlJc w:val="left"/>
      <w:pPr>
        <w:ind w:left="4720" w:hanging="400"/>
      </w:pPr>
    </w:lvl>
    <w:lvl w:ilvl="8" w:tplc="0409001B" w:tentative="1">
      <w:start w:val="1"/>
      <w:numFmt w:val="lowerRoman"/>
      <w:lvlText w:val="%9."/>
      <w:lvlJc w:val="right"/>
      <w:pPr>
        <w:ind w:left="5120" w:hanging="400"/>
      </w:pPr>
    </w:lvl>
  </w:abstractNum>
  <w:abstractNum w:abstractNumId="5" w15:restartNumberingAfterBreak="0">
    <w:nsid w:val="1E08521F"/>
    <w:multiLevelType w:val="hybridMultilevel"/>
    <w:tmpl w:val="BC4EAEE8"/>
    <w:lvl w:ilvl="0" w:tplc="0D6AED92">
      <w:start w:val="1"/>
      <w:numFmt w:val="decimal"/>
      <w:lvlText w:val="%1."/>
      <w:lvlJc w:val="left"/>
      <w:pPr>
        <w:ind w:left="1520" w:hanging="360"/>
      </w:pPr>
      <w:rPr>
        <w:rFonts w:hint="default"/>
      </w:rPr>
    </w:lvl>
    <w:lvl w:ilvl="1" w:tplc="04090019" w:tentative="1">
      <w:start w:val="1"/>
      <w:numFmt w:val="upperLetter"/>
      <w:lvlText w:val="%2."/>
      <w:lvlJc w:val="left"/>
      <w:pPr>
        <w:ind w:left="1960" w:hanging="400"/>
      </w:pPr>
    </w:lvl>
    <w:lvl w:ilvl="2" w:tplc="0409001B" w:tentative="1">
      <w:start w:val="1"/>
      <w:numFmt w:val="lowerRoman"/>
      <w:lvlText w:val="%3."/>
      <w:lvlJc w:val="right"/>
      <w:pPr>
        <w:ind w:left="2360" w:hanging="400"/>
      </w:pPr>
    </w:lvl>
    <w:lvl w:ilvl="3" w:tplc="0409000F" w:tentative="1">
      <w:start w:val="1"/>
      <w:numFmt w:val="decimal"/>
      <w:lvlText w:val="%4."/>
      <w:lvlJc w:val="left"/>
      <w:pPr>
        <w:ind w:left="2760" w:hanging="400"/>
      </w:pPr>
    </w:lvl>
    <w:lvl w:ilvl="4" w:tplc="04090019" w:tentative="1">
      <w:start w:val="1"/>
      <w:numFmt w:val="upperLetter"/>
      <w:lvlText w:val="%5."/>
      <w:lvlJc w:val="left"/>
      <w:pPr>
        <w:ind w:left="3160" w:hanging="400"/>
      </w:pPr>
    </w:lvl>
    <w:lvl w:ilvl="5" w:tplc="0409001B" w:tentative="1">
      <w:start w:val="1"/>
      <w:numFmt w:val="lowerRoman"/>
      <w:lvlText w:val="%6."/>
      <w:lvlJc w:val="right"/>
      <w:pPr>
        <w:ind w:left="3560" w:hanging="400"/>
      </w:pPr>
    </w:lvl>
    <w:lvl w:ilvl="6" w:tplc="0409000F" w:tentative="1">
      <w:start w:val="1"/>
      <w:numFmt w:val="decimal"/>
      <w:lvlText w:val="%7."/>
      <w:lvlJc w:val="left"/>
      <w:pPr>
        <w:ind w:left="3960" w:hanging="400"/>
      </w:pPr>
    </w:lvl>
    <w:lvl w:ilvl="7" w:tplc="04090019" w:tentative="1">
      <w:start w:val="1"/>
      <w:numFmt w:val="upperLetter"/>
      <w:lvlText w:val="%8."/>
      <w:lvlJc w:val="left"/>
      <w:pPr>
        <w:ind w:left="4360" w:hanging="400"/>
      </w:pPr>
    </w:lvl>
    <w:lvl w:ilvl="8" w:tplc="0409001B" w:tentative="1">
      <w:start w:val="1"/>
      <w:numFmt w:val="lowerRoman"/>
      <w:lvlText w:val="%9."/>
      <w:lvlJc w:val="right"/>
      <w:pPr>
        <w:ind w:left="4760" w:hanging="400"/>
      </w:pPr>
    </w:lvl>
  </w:abstractNum>
  <w:abstractNum w:abstractNumId="6" w15:restartNumberingAfterBreak="0">
    <w:nsid w:val="20743299"/>
    <w:multiLevelType w:val="hybridMultilevel"/>
    <w:tmpl w:val="02249366"/>
    <w:lvl w:ilvl="0" w:tplc="200CAD16">
      <w:start w:val="1"/>
      <w:numFmt w:val="decimal"/>
      <w:lvlText w:val="(%1)"/>
      <w:lvlJc w:val="left"/>
      <w:pPr>
        <w:ind w:left="1640" w:hanging="360"/>
      </w:pPr>
      <w:rPr>
        <w:rFonts w:hint="default"/>
      </w:rPr>
    </w:lvl>
    <w:lvl w:ilvl="1" w:tplc="04090019" w:tentative="1">
      <w:start w:val="1"/>
      <w:numFmt w:val="upperLetter"/>
      <w:lvlText w:val="%2."/>
      <w:lvlJc w:val="left"/>
      <w:pPr>
        <w:ind w:left="2080" w:hanging="400"/>
      </w:pPr>
    </w:lvl>
    <w:lvl w:ilvl="2" w:tplc="0409001B" w:tentative="1">
      <w:start w:val="1"/>
      <w:numFmt w:val="lowerRoman"/>
      <w:lvlText w:val="%3."/>
      <w:lvlJc w:val="right"/>
      <w:pPr>
        <w:ind w:left="2480" w:hanging="400"/>
      </w:pPr>
    </w:lvl>
    <w:lvl w:ilvl="3" w:tplc="0409000F" w:tentative="1">
      <w:start w:val="1"/>
      <w:numFmt w:val="decimal"/>
      <w:lvlText w:val="%4."/>
      <w:lvlJc w:val="left"/>
      <w:pPr>
        <w:ind w:left="2880" w:hanging="400"/>
      </w:pPr>
    </w:lvl>
    <w:lvl w:ilvl="4" w:tplc="04090019" w:tentative="1">
      <w:start w:val="1"/>
      <w:numFmt w:val="upperLetter"/>
      <w:lvlText w:val="%5."/>
      <w:lvlJc w:val="left"/>
      <w:pPr>
        <w:ind w:left="3280" w:hanging="400"/>
      </w:pPr>
    </w:lvl>
    <w:lvl w:ilvl="5" w:tplc="0409001B" w:tentative="1">
      <w:start w:val="1"/>
      <w:numFmt w:val="lowerRoman"/>
      <w:lvlText w:val="%6."/>
      <w:lvlJc w:val="right"/>
      <w:pPr>
        <w:ind w:left="3680" w:hanging="400"/>
      </w:pPr>
    </w:lvl>
    <w:lvl w:ilvl="6" w:tplc="0409000F" w:tentative="1">
      <w:start w:val="1"/>
      <w:numFmt w:val="decimal"/>
      <w:lvlText w:val="%7."/>
      <w:lvlJc w:val="left"/>
      <w:pPr>
        <w:ind w:left="4080" w:hanging="400"/>
      </w:pPr>
    </w:lvl>
    <w:lvl w:ilvl="7" w:tplc="04090019" w:tentative="1">
      <w:start w:val="1"/>
      <w:numFmt w:val="upperLetter"/>
      <w:lvlText w:val="%8."/>
      <w:lvlJc w:val="left"/>
      <w:pPr>
        <w:ind w:left="4480" w:hanging="400"/>
      </w:pPr>
    </w:lvl>
    <w:lvl w:ilvl="8" w:tplc="0409001B" w:tentative="1">
      <w:start w:val="1"/>
      <w:numFmt w:val="lowerRoman"/>
      <w:lvlText w:val="%9."/>
      <w:lvlJc w:val="right"/>
      <w:pPr>
        <w:ind w:left="4880" w:hanging="400"/>
      </w:pPr>
    </w:lvl>
  </w:abstractNum>
  <w:abstractNum w:abstractNumId="7" w15:restartNumberingAfterBreak="0">
    <w:nsid w:val="29FA19E6"/>
    <w:multiLevelType w:val="hybridMultilevel"/>
    <w:tmpl w:val="106C7754"/>
    <w:lvl w:ilvl="0" w:tplc="7D582A08">
      <w:start w:val="1"/>
      <w:numFmt w:val="upperRoman"/>
      <w:lvlText w:val="%1."/>
      <w:lvlJc w:val="left"/>
      <w:pPr>
        <w:ind w:left="1200" w:hanging="400"/>
      </w:pPr>
      <w:rPr>
        <w:rFonts w:hint="eastAsia"/>
      </w:rPr>
    </w:lvl>
    <w:lvl w:ilvl="1" w:tplc="04090019" w:tentative="1">
      <w:start w:val="1"/>
      <w:numFmt w:val="upperLetter"/>
      <w:lvlText w:val="%2."/>
      <w:lvlJc w:val="left"/>
      <w:pPr>
        <w:ind w:left="1600" w:hanging="400"/>
      </w:pPr>
    </w:lvl>
    <w:lvl w:ilvl="2" w:tplc="0409001B" w:tentative="1">
      <w:start w:val="1"/>
      <w:numFmt w:val="lowerRoman"/>
      <w:lvlText w:val="%3."/>
      <w:lvlJc w:val="right"/>
      <w:pPr>
        <w:ind w:left="2000" w:hanging="400"/>
      </w:pPr>
    </w:lvl>
    <w:lvl w:ilvl="3" w:tplc="0409000F" w:tentative="1">
      <w:start w:val="1"/>
      <w:numFmt w:val="decimal"/>
      <w:lvlText w:val="%4."/>
      <w:lvlJc w:val="left"/>
      <w:pPr>
        <w:ind w:left="2400" w:hanging="400"/>
      </w:pPr>
    </w:lvl>
    <w:lvl w:ilvl="4" w:tplc="04090019" w:tentative="1">
      <w:start w:val="1"/>
      <w:numFmt w:val="upperLetter"/>
      <w:lvlText w:val="%5."/>
      <w:lvlJc w:val="left"/>
      <w:pPr>
        <w:ind w:left="2800" w:hanging="400"/>
      </w:pPr>
    </w:lvl>
    <w:lvl w:ilvl="5" w:tplc="0409001B" w:tentative="1">
      <w:start w:val="1"/>
      <w:numFmt w:val="lowerRoman"/>
      <w:lvlText w:val="%6."/>
      <w:lvlJc w:val="right"/>
      <w:pPr>
        <w:ind w:left="3200" w:hanging="400"/>
      </w:pPr>
    </w:lvl>
    <w:lvl w:ilvl="6" w:tplc="0409000F" w:tentative="1">
      <w:start w:val="1"/>
      <w:numFmt w:val="decimal"/>
      <w:lvlText w:val="%7."/>
      <w:lvlJc w:val="left"/>
      <w:pPr>
        <w:ind w:left="3600" w:hanging="400"/>
      </w:pPr>
    </w:lvl>
    <w:lvl w:ilvl="7" w:tplc="04090019" w:tentative="1">
      <w:start w:val="1"/>
      <w:numFmt w:val="upperLetter"/>
      <w:lvlText w:val="%8."/>
      <w:lvlJc w:val="left"/>
      <w:pPr>
        <w:ind w:left="4000" w:hanging="400"/>
      </w:pPr>
    </w:lvl>
    <w:lvl w:ilvl="8" w:tplc="0409001B" w:tentative="1">
      <w:start w:val="1"/>
      <w:numFmt w:val="lowerRoman"/>
      <w:lvlText w:val="%9."/>
      <w:lvlJc w:val="right"/>
      <w:pPr>
        <w:ind w:left="4400" w:hanging="400"/>
      </w:pPr>
    </w:lvl>
  </w:abstractNum>
  <w:abstractNum w:abstractNumId="8" w15:restartNumberingAfterBreak="0">
    <w:nsid w:val="2B2F5BF1"/>
    <w:multiLevelType w:val="hybridMultilevel"/>
    <w:tmpl w:val="3A8A4126"/>
    <w:lvl w:ilvl="0" w:tplc="56C070B4">
      <w:start w:val="1"/>
      <w:numFmt w:val="lowerLetter"/>
      <w:lvlText w:val="%1."/>
      <w:lvlJc w:val="left"/>
      <w:pPr>
        <w:ind w:left="1880" w:hanging="360"/>
      </w:pPr>
      <w:rPr>
        <w:rFonts w:hint="default"/>
      </w:rPr>
    </w:lvl>
    <w:lvl w:ilvl="1" w:tplc="04090019" w:tentative="1">
      <w:start w:val="1"/>
      <w:numFmt w:val="upperLetter"/>
      <w:lvlText w:val="%2."/>
      <w:lvlJc w:val="left"/>
      <w:pPr>
        <w:ind w:left="2320" w:hanging="400"/>
      </w:pPr>
    </w:lvl>
    <w:lvl w:ilvl="2" w:tplc="0409001B" w:tentative="1">
      <w:start w:val="1"/>
      <w:numFmt w:val="lowerRoman"/>
      <w:lvlText w:val="%3."/>
      <w:lvlJc w:val="right"/>
      <w:pPr>
        <w:ind w:left="2720" w:hanging="400"/>
      </w:pPr>
    </w:lvl>
    <w:lvl w:ilvl="3" w:tplc="0409000F" w:tentative="1">
      <w:start w:val="1"/>
      <w:numFmt w:val="decimal"/>
      <w:lvlText w:val="%4."/>
      <w:lvlJc w:val="left"/>
      <w:pPr>
        <w:ind w:left="3120" w:hanging="400"/>
      </w:pPr>
    </w:lvl>
    <w:lvl w:ilvl="4" w:tplc="04090019" w:tentative="1">
      <w:start w:val="1"/>
      <w:numFmt w:val="upperLetter"/>
      <w:lvlText w:val="%5."/>
      <w:lvlJc w:val="left"/>
      <w:pPr>
        <w:ind w:left="3520" w:hanging="400"/>
      </w:pPr>
    </w:lvl>
    <w:lvl w:ilvl="5" w:tplc="0409001B" w:tentative="1">
      <w:start w:val="1"/>
      <w:numFmt w:val="lowerRoman"/>
      <w:lvlText w:val="%6."/>
      <w:lvlJc w:val="right"/>
      <w:pPr>
        <w:ind w:left="3920" w:hanging="400"/>
      </w:pPr>
    </w:lvl>
    <w:lvl w:ilvl="6" w:tplc="0409000F" w:tentative="1">
      <w:start w:val="1"/>
      <w:numFmt w:val="decimal"/>
      <w:lvlText w:val="%7."/>
      <w:lvlJc w:val="left"/>
      <w:pPr>
        <w:ind w:left="4320" w:hanging="400"/>
      </w:pPr>
    </w:lvl>
    <w:lvl w:ilvl="7" w:tplc="04090019" w:tentative="1">
      <w:start w:val="1"/>
      <w:numFmt w:val="upperLetter"/>
      <w:lvlText w:val="%8."/>
      <w:lvlJc w:val="left"/>
      <w:pPr>
        <w:ind w:left="4720" w:hanging="400"/>
      </w:pPr>
    </w:lvl>
    <w:lvl w:ilvl="8" w:tplc="0409001B" w:tentative="1">
      <w:start w:val="1"/>
      <w:numFmt w:val="lowerRoman"/>
      <w:lvlText w:val="%9."/>
      <w:lvlJc w:val="right"/>
      <w:pPr>
        <w:ind w:left="5120" w:hanging="400"/>
      </w:pPr>
    </w:lvl>
  </w:abstractNum>
  <w:abstractNum w:abstractNumId="9" w15:restartNumberingAfterBreak="0">
    <w:nsid w:val="3FE275F1"/>
    <w:multiLevelType w:val="hybridMultilevel"/>
    <w:tmpl w:val="89840A66"/>
    <w:lvl w:ilvl="0" w:tplc="579A0E08">
      <w:start w:val="1"/>
      <w:numFmt w:val="decimal"/>
      <w:lvlText w:val="(%1)"/>
      <w:lvlJc w:val="left"/>
      <w:pPr>
        <w:ind w:left="1120" w:hanging="360"/>
      </w:pPr>
      <w:rPr>
        <w:rFonts w:hint="default"/>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10" w15:restartNumberingAfterBreak="0">
    <w:nsid w:val="42B00C18"/>
    <w:multiLevelType w:val="hybridMultilevel"/>
    <w:tmpl w:val="463836E4"/>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1" w15:restartNumberingAfterBreak="0">
    <w:nsid w:val="43B82B70"/>
    <w:multiLevelType w:val="hybridMultilevel"/>
    <w:tmpl w:val="E09E9D24"/>
    <w:lvl w:ilvl="0" w:tplc="7D582A08">
      <w:start w:val="1"/>
      <w:numFmt w:val="upperRoman"/>
      <w:lvlText w:val="%1."/>
      <w:lvlJc w:val="left"/>
      <w:pPr>
        <w:ind w:left="400" w:hanging="400"/>
      </w:pPr>
      <w:rPr>
        <w:rFonts w:hint="eastAsia"/>
      </w:rPr>
    </w:lvl>
    <w:lvl w:ilvl="1" w:tplc="04090019" w:tentative="1">
      <w:start w:val="1"/>
      <w:numFmt w:val="upperLetter"/>
      <w:lvlText w:val="%2."/>
      <w:lvlJc w:val="left"/>
      <w:pPr>
        <w:ind w:left="1600" w:hanging="400"/>
      </w:pPr>
    </w:lvl>
    <w:lvl w:ilvl="2" w:tplc="0409001B" w:tentative="1">
      <w:start w:val="1"/>
      <w:numFmt w:val="lowerRoman"/>
      <w:lvlText w:val="%3."/>
      <w:lvlJc w:val="right"/>
      <w:pPr>
        <w:ind w:left="2000" w:hanging="400"/>
      </w:pPr>
    </w:lvl>
    <w:lvl w:ilvl="3" w:tplc="0409000F" w:tentative="1">
      <w:start w:val="1"/>
      <w:numFmt w:val="decimal"/>
      <w:lvlText w:val="%4."/>
      <w:lvlJc w:val="left"/>
      <w:pPr>
        <w:ind w:left="2400" w:hanging="400"/>
      </w:pPr>
    </w:lvl>
    <w:lvl w:ilvl="4" w:tplc="04090019" w:tentative="1">
      <w:start w:val="1"/>
      <w:numFmt w:val="upperLetter"/>
      <w:lvlText w:val="%5."/>
      <w:lvlJc w:val="left"/>
      <w:pPr>
        <w:ind w:left="2800" w:hanging="400"/>
      </w:pPr>
    </w:lvl>
    <w:lvl w:ilvl="5" w:tplc="0409001B" w:tentative="1">
      <w:start w:val="1"/>
      <w:numFmt w:val="lowerRoman"/>
      <w:lvlText w:val="%6."/>
      <w:lvlJc w:val="right"/>
      <w:pPr>
        <w:ind w:left="3200" w:hanging="400"/>
      </w:pPr>
    </w:lvl>
    <w:lvl w:ilvl="6" w:tplc="0409000F" w:tentative="1">
      <w:start w:val="1"/>
      <w:numFmt w:val="decimal"/>
      <w:lvlText w:val="%7."/>
      <w:lvlJc w:val="left"/>
      <w:pPr>
        <w:ind w:left="3600" w:hanging="400"/>
      </w:pPr>
    </w:lvl>
    <w:lvl w:ilvl="7" w:tplc="04090019" w:tentative="1">
      <w:start w:val="1"/>
      <w:numFmt w:val="upperLetter"/>
      <w:lvlText w:val="%8."/>
      <w:lvlJc w:val="left"/>
      <w:pPr>
        <w:ind w:left="4000" w:hanging="400"/>
      </w:pPr>
    </w:lvl>
    <w:lvl w:ilvl="8" w:tplc="0409001B" w:tentative="1">
      <w:start w:val="1"/>
      <w:numFmt w:val="lowerRoman"/>
      <w:lvlText w:val="%9."/>
      <w:lvlJc w:val="right"/>
      <w:pPr>
        <w:ind w:left="4400" w:hanging="400"/>
      </w:pPr>
    </w:lvl>
  </w:abstractNum>
  <w:abstractNum w:abstractNumId="12" w15:restartNumberingAfterBreak="0">
    <w:nsid w:val="4FF126C5"/>
    <w:multiLevelType w:val="hybridMultilevel"/>
    <w:tmpl w:val="43B4CA16"/>
    <w:lvl w:ilvl="0" w:tplc="1800FB52">
      <w:start w:val="1"/>
      <w:numFmt w:val="lowerLetter"/>
      <w:lvlText w:val="%1."/>
      <w:lvlJc w:val="left"/>
      <w:pPr>
        <w:ind w:left="360" w:hanging="360"/>
      </w:pPr>
      <w:rPr>
        <w:rFonts w:hint="default"/>
      </w:rPr>
    </w:lvl>
    <w:lvl w:ilvl="1" w:tplc="04090019" w:tentative="1">
      <w:start w:val="1"/>
      <w:numFmt w:val="upperLetter"/>
      <w:lvlText w:val="%2."/>
      <w:lvlJc w:val="left"/>
      <w:pPr>
        <w:ind w:left="2320" w:hanging="400"/>
      </w:pPr>
    </w:lvl>
    <w:lvl w:ilvl="2" w:tplc="0409001B" w:tentative="1">
      <w:start w:val="1"/>
      <w:numFmt w:val="lowerRoman"/>
      <w:lvlText w:val="%3."/>
      <w:lvlJc w:val="right"/>
      <w:pPr>
        <w:ind w:left="2720" w:hanging="400"/>
      </w:pPr>
    </w:lvl>
    <w:lvl w:ilvl="3" w:tplc="0409000F" w:tentative="1">
      <w:start w:val="1"/>
      <w:numFmt w:val="decimal"/>
      <w:lvlText w:val="%4."/>
      <w:lvlJc w:val="left"/>
      <w:pPr>
        <w:ind w:left="3120" w:hanging="400"/>
      </w:pPr>
    </w:lvl>
    <w:lvl w:ilvl="4" w:tplc="04090019" w:tentative="1">
      <w:start w:val="1"/>
      <w:numFmt w:val="upperLetter"/>
      <w:lvlText w:val="%5."/>
      <w:lvlJc w:val="left"/>
      <w:pPr>
        <w:ind w:left="3520" w:hanging="400"/>
      </w:pPr>
    </w:lvl>
    <w:lvl w:ilvl="5" w:tplc="0409001B" w:tentative="1">
      <w:start w:val="1"/>
      <w:numFmt w:val="lowerRoman"/>
      <w:lvlText w:val="%6."/>
      <w:lvlJc w:val="right"/>
      <w:pPr>
        <w:ind w:left="3920" w:hanging="400"/>
      </w:pPr>
    </w:lvl>
    <w:lvl w:ilvl="6" w:tplc="0409000F" w:tentative="1">
      <w:start w:val="1"/>
      <w:numFmt w:val="decimal"/>
      <w:lvlText w:val="%7."/>
      <w:lvlJc w:val="left"/>
      <w:pPr>
        <w:ind w:left="4320" w:hanging="400"/>
      </w:pPr>
    </w:lvl>
    <w:lvl w:ilvl="7" w:tplc="04090019" w:tentative="1">
      <w:start w:val="1"/>
      <w:numFmt w:val="upperLetter"/>
      <w:lvlText w:val="%8."/>
      <w:lvlJc w:val="left"/>
      <w:pPr>
        <w:ind w:left="4720" w:hanging="400"/>
      </w:pPr>
    </w:lvl>
    <w:lvl w:ilvl="8" w:tplc="0409001B" w:tentative="1">
      <w:start w:val="1"/>
      <w:numFmt w:val="lowerRoman"/>
      <w:lvlText w:val="%9."/>
      <w:lvlJc w:val="right"/>
      <w:pPr>
        <w:ind w:left="5120" w:hanging="400"/>
      </w:pPr>
    </w:lvl>
  </w:abstractNum>
  <w:abstractNum w:abstractNumId="13" w15:restartNumberingAfterBreak="0">
    <w:nsid w:val="5147667D"/>
    <w:multiLevelType w:val="hybridMultilevel"/>
    <w:tmpl w:val="DF3ED57A"/>
    <w:lvl w:ilvl="0" w:tplc="BB123C90">
      <w:start w:val="1"/>
      <w:numFmt w:val="decimal"/>
      <w:lvlText w:val="(%1)"/>
      <w:lvlJc w:val="left"/>
      <w:pPr>
        <w:ind w:left="1480" w:hanging="360"/>
      </w:pPr>
      <w:rPr>
        <w:rFonts w:hint="default"/>
      </w:rPr>
    </w:lvl>
    <w:lvl w:ilvl="1" w:tplc="04090019" w:tentative="1">
      <w:start w:val="1"/>
      <w:numFmt w:val="upperLetter"/>
      <w:lvlText w:val="%2."/>
      <w:lvlJc w:val="left"/>
      <w:pPr>
        <w:ind w:left="1920" w:hanging="400"/>
      </w:pPr>
    </w:lvl>
    <w:lvl w:ilvl="2" w:tplc="0409001B" w:tentative="1">
      <w:start w:val="1"/>
      <w:numFmt w:val="lowerRoman"/>
      <w:lvlText w:val="%3."/>
      <w:lvlJc w:val="right"/>
      <w:pPr>
        <w:ind w:left="2320" w:hanging="400"/>
      </w:pPr>
    </w:lvl>
    <w:lvl w:ilvl="3" w:tplc="0409000F" w:tentative="1">
      <w:start w:val="1"/>
      <w:numFmt w:val="decimal"/>
      <w:lvlText w:val="%4."/>
      <w:lvlJc w:val="left"/>
      <w:pPr>
        <w:ind w:left="2720" w:hanging="400"/>
      </w:pPr>
    </w:lvl>
    <w:lvl w:ilvl="4" w:tplc="04090019" w:tentative="1">
      <w:start w:val="1"/>
      <w:numFmt w:val="upperLetter"/>
      <w:lvlText w:val="%5."/>
      <w:lvlJc w:val="left"/>
      <w:pPr>
        <w:ind w:left="3120" w:hanging="400"/>
      </w:pPr>
    </w:lvl>
    <w:lvl w:ilvl="5" w:tplc="0409001B" w:tentative="1">
      <w:start w:val="1"/>
      <w:numFmt w:val="lowerRoman"/>
      <w:lvlText w:val="%6."/>
      <w:lvlJc w:val="right"/>
      <w:pPr>
        <w:ind w:left="3520" w:hanging="400"/>
      </w:pPr>
    </w:lvl>
    <w:lvl w:ilvl="6" w:tplc="0409000F" w:tentative="1">
      <w:start w:val="1"/>
      <w:numFmt w:val="decimal"/>
      <w:lvlText w:val="%7."/>
      <w:lvlJc w:val="left"/>
      <w:pPr>
        <w:ind w:left="3920" w:hanging="400"/>
      </w:pPr>
    </w:lvl>
    <w:lvl w:ilvl="7" w:tplc="04090019" w:tentative="1">
      <w:start w:val="1"/>
      <w:numFmt w:val="upperLetter"/>
      <w:lvlText w:val="%8."/>
      <w:lvlJc w:val="left"/>
      <w:pPr>
        <w:ind w:left="4320" w:hanging="400"/>
      </w:pPr>
    </w:lvl>
    <w:lvl w:ilvl="8" w:tplc="0409001B" w:tentative="1">
      <w:start w:val="1"/>
      <w:numFmt w:val="lowerRoman"/>
      <w:lvlText w:val="%9."/>
      <w:lvlJc w:val="right"/>
      <w:pPr>
        <w:ind w:left="4720" w:hanging="400"/>
      </w:pPr>
    </w:lvl>
  </w:abstractNum>
  <w:abstractNum w:abstractNumId="14" w15:restartNumberingAfterBreak="0">
    <w:nsid w:val="57C26751"/>
    <w:multiLevelType w:val="hybridMultilevel"/>
    <w:tmpl w:val="AE98892E"/>
    <w:lvl w:ilvl="0" w:tplc="6F604D58">
      <w:start w:val="1"/>
      <w:numFmt w:val="decimal"/>
      <w:lvlText w:val="(%1)"/>
      <w:lvlJc w:val="left"/>
      <w:pPr>
        <w:ind w:left="1120" w:hanging="360"/>
      </w:pPr>
      <w:rPr>
        <w:rFonts w:hint="default"/>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15" w15:restartNumberingAfterBreak="0">
    <w:nsid w:val="5F714B0F"/>
    <w:multiLevelType w:val="hybridMultilevel"/>
    <w:tmpl w:val="1C5EA6A6"/>
    <w:lvl w:ilvl="0" w:tplc="DFA8BA28">
      <w:start w:val="1"/>
      <w:numFmt w:val="decimal"/>
      <w:lvlText w:val="(%1)"/>
      <w:lvlJc w:val="left"/>
      <w:pPr>
        <w:ind w:left="1160" w:hanging="360"/>
      </w:pPr>
      <w:rPr>
        <w:rFonts w:hint="default"/>
      </w:rPr>
    </w:lvl>
    <w:lvl w:ilvl="1" w:tplc="04090019" w:tentative="1">
      <w:start w:val="1"/>
      <w:numFmt w:val="upperLetter"/>
      <w:lvlText w:val="%2."/>
      <w:lvlJc w:val="left"/>
      <w:pPr>
        <w:ind w:left="1600" w:hanging="400"/>
      </w:pPr>
    </w:lvl>
    <w:lvl w:ilvl="2" w:tplc="0409001B" w:tentative="1">
      <w:start w:val="1"/>
      <w:numFmt w:val="lowerRoman"/>
      <w:lvlText w:val="%3."/>
      <w:lvlJc w:val="right"/>
      <w:pPr>
        <w:ind w:left="2000" w:hanging="400"/>
      </w:pPr>
    </w:lvl>
    <w:lvl w:ilvl="3" w:tplc="0409000F" w:tentative="1">
      <w:start w:val="1"/>
      <w:numFmt w:val="decimal"/>
      <w:lvlText w:val="%4."/>
      <w:lvlJc w:val="left"/>
      <w:pPr>
        <w:ind w:left="2400" w:hanging="400"/>
      </w:pPr>
    </w:lvl>
    <w:lvl w:ilvl="4" w:tplc="04090019" w:tentative="1">
      <w:start w:val="1"/>
      <w:numFmt w:val="upperLetter"/>
      <w:lvlText w:val="%5."/>
      <w:lvlJc w:val="left"/>
      <w:pPr>
        <w:ind w:left="2800" w:hanging="400"/>
      </w:pPr>
    </w:lvl>
    <w:lvl w:ilvl="5" w:tplc="0409001B" w:tentative="1">
      <w:start w:val="1"/>
      <w:numFmt w:val="lowerRoman"/>
      <w:lvlText w:val="%6."/>
      <w:lvlJc w:val="right"/>
      <w:pPr>
        <w:ind w:left="3200" w:hanging="400"/>
      </w:pPr>
    </w:lvl>
    <w:lvl w:ilvl="6" w:tplc="0409000F" w:tentative="1">
      <w:start w:val="1"/>
      <w:numFmt w:val="decimal"/>
      <w:lvlText w:val="%7."/>
      <w:lvlJc w:val="left"/>
      <w:pPr>
        <w:ind w:left="3600" w:hanging="400"/>
      </w:pPr>
    </w:lvl>
    <w:lvl w:ilvl="7" w:tplc="04090019" w:tentative="1">
      <w:start w:val="1"/>
      <w:numFmt w:val="upperLetter"/>
      <w:lvlText w:val="%8."/>
      <w:lvlJc w:val="left"/>
      <w:pPr>
        <w:ind w:left="4000" w:hanging="400"/>
      </w:pPr>
    </w:lvl>
    <w:lvl w:ilvl="8" w:tplc="0409001B" w:tentative="1">
      <w:start w:val="1"/>
      <w:numFmt w:val="lowerRoman"/>
      <w:lvlText w:val="%9."/>
      <w:lvlJc w:val="right"/>
      <w:pPr>
        <w:ind w:left="4400" w:hanging="400"/>
      </w:pPr>
    </w:lvl>
  </w:abstractNum>
  <w:abstractNum w:abstractNumId="16" w15:restartNumberingAfterBreak="0">
    <w:nsid w:val="6D5A55ED"/>
    <w:multiLevelType w:val="hybridMultilevel"/>
    <w:tmpl w:val="61B4B8A2"/>
    <w:lvl w:ilvl="0" w:tplc="2C0AE914">
      <w:start w:val="1"/>
      <w:numFmt w:val="decimal"/>
      <w:lvlText w:val="%1."/>
      <w:lvlJc w:val="left"/>
      <w:pPr>
        <w:ind w:left="1160" w:hanging="360"/>
      </w:pPr>
      <w:rPr>
        <w:rFonts w:hint="default"/>
      </w:rPr>
    </w:lvl>
    <w:lvl w:ilvl="1" w:tplc="04090019" w:tentative="1">
      <w:start w:val="1"/>
      <w:numFmt w:val="upperLetter"/>
      <w:lvlText w:val="%2."/>
      <w:lvlJc w:val="left"/>
      <w:pPr>
        <w:ind w:left="1600" w:hanging="400"/>
      </w:pPr>
    </w:lvl>
    <w:lvl w:ilvl="2" w:tplc="0409001B" w:tentative="1">
      <w:start w:val="1"/>
      <w:numFmt w:val="lowerRoman"/>
      <w:lvlText w:val="%3."/>
      <w:lvlJc w:val="right"/>
      <w:pPr>
        <w:ind w:left="2000" w:hanging="400"/>
      </w:pPr>
    </w:lvl>
    <w:lvl w:ilvl="3" w:tplc="0409000F" w:tentative="1">
      <w:start w:val="1"/>
      <w:numFmt w:val="decimal"/>
      <w:lvlText w:val="%4."/>
      <w:lvlJc w:val="left"/>
      <w:pPr>
        <w:ind w:left="2400" w:hanging="400"/>
      </w:pPr>
    </w:lvl>
    <w:lvl w:ilvl="4" w:tplc="04090019" w:tentative="1">
      <w:start w:val="1"/>
      <w:numFmt w:val="upperLetter"/>
      <w:lvlText w:val="%5."/>
      <w:lvlJc w:val="left"/>
      <w:pPr>
        <w:ind w:left="2800" w:hanging="400"/>
      </w:pPr>
    </w:lvl>
    <w:lvl w:ilvl="5" w:tplc="0409001B" w:tentative="1">
      <w:start w:val="1"/>
      <w:numFmt w:val="lowerRoman"/>
      <w:lvlText w:val="%6."/>
      <w:lvlJc w:val="right"/>
      <w:pPr>
        <w:ind w:left="3200" w:hanging="400"/>
      </w:pPr>
    </w:lvl>
    <w:lvl w:ilvl="6" w:tplc="0409000F" w:tentative="1">
      <w:start w:val="1"/>
      <w:numFmt w:val="decimal"/>
      <w:lvlText w:val="%7."/>
      <w:lvlJc w:val="left"/>
      <w:pPr>
        <w:ind w:left="3600" w:hanging="400"/>
      </w:pPr>
    </w:lvl>
    <w:lvl w:ilvl="7" w:tplc="04090019" w:tentative="1">
      <w:start w:val="1"/>
      <w:numFmt w:val="upperLetter"/>
      <w:lvlText w:val="%8."/>
      <w:lvlJc w:val="left"/>
      <w:pPr>
        <w:ind w:left="4000" w:hanging="400"/>
      </w:pPr>
    </w:lvl>
    <w:lvl w:ilvl="8" w:tplc="0409001B" w:tentative="1">
      <w:start w:val="1"/>
      <w:numFmt w:val="lowerRoman"/>
      <w:lvlText w:val="%9."/>
      <w:lvlJc w:val="right"/>
      <w:pPr>
        <w:ind w:left="4400" w:hanging="400"/>
      </w:pPr>
    </w:lvl>
  </w:abstractNum>
  <w:abstractNum w:abstractNumId="17" w15:restartNumberingAfterBreak="0">
    <w:nsid w:val="6DA11838"/>
    <w:multiLevelType w:val="hybridMultilevel"/>
    <w:tmpl w:val="02C831F2"/>
    <w:lvl w:ilvl="0" w:tplc="63C8586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8" w15:restartNumberingAfterBreak="0">
    <w:nsid w:val="728B1EDC"/>
    <w:multiLevelType w:val="hybridMultilevel"/>
    <w:tmpl w:val="E6BA1D4C"/>
    <w:lvl w:ilvl="0" w:tplc="592088DC">
      <w:start w:val="1"/>
      <w:numFmt w:val="decimal"/>
      <w:lvlText w:val="%1."/>
      <w:lvlJc w:val="left"/>
      <w:pPr>
        <w:ind w:left="1160" w:hanging="360"/>
      </w:pPr>
      <w:rPr>
        <w:rFonts w:hint="default"/>
      </w:rPr>
    </w:lvl>
    <w:lvl w:ilvl="1" w:tplc="04090019" w:tentative="1">
      <w:start w:val="1"/>
      <w:numFmt w:val="upperLetter"/>
      <w:lvlText w:val="%2."/>
      <w:lvlJc w:val="left"/>
      <w:pPr>
        <w:ind w:left="1600" w:hanging="400"/>
      </w:pPr>
    </w:lvl>
    <w:lvl w:ilvl="2" w:tplc="0409001B" w:tentative="1">
      <w:start w:val="1"/>
      <w:numFmt w:val="lowerRoman"/>
      <w:lvlText w:val="%3."/>
      <w:lvlJc w:val="right"/>
      <w:pPr>
        <w:ind w:left="2000" w:hanging="400"/>
      </w:pPr>
    </w:lvl>
    <w:lvl w:ilvl="3" w:tplc="0409000F" w:tentative="1">
      <w:start w:val="1"/>
      <w:numFmt w:val="decimal"/>
      <w:lvlText w:val="%4."/>
      <w:lvlJc w:val="left"/>
      <w:pPr>
        <w:ind w:left="2400" w:hanging="400"/>
      </w:pPr>
    </w:lvl>
    <w:lvl w:ilvl="4" w:tplc="04090019" w:tentative="1">
      <w:start w:val="1"/>
      <w:numFmt w:val="upperLetter"/>
      <w:lvlText w:val="%5."/>
      <w:lvlJc w:val="left"/>
      <w:pPr>
        <w:ind w:left="2800" w:hanging="400"/>
      </w:pPr>
    </w:lvl>
    <w:lvl w:ilvl="5" w:tplc="0409001B" w:tentative="1">
      <w:start w:val="1"/>
      <w:numFmt w:val="lowerRoman"/>
      <w:lvlText w:val="%6."/>
      <w:lvlJc w:val="right"/>
      <w:pPr>
        <w:ind w:left="3200" w:hanging="400"/>
      </w:pPr>
    </w:lvl>
    <w:lvl w:ilvl="6" w:tplc="0409000F" w:tentative="1">
      <w:start w:val="1"/>
      <w:numFmt w:val="decimal"/>
      <w:lvlText w:val="%7."/>
      <w:lvlJc w:val="left"/>
      <w:pPr>
        <w:ind w:left="3600" w:hanging="400"/>
      </w:pPr>
    </w:lvl>
    <w:lvl w:ilvl="7" w:tplc="04090019" w:tentative="1">
      <w:start w:val="1"/>
      <w:numFmt w:val="upperLetter"/>
      <w:lvlText w:val="%8."/>
      <w:lvlJc w:val="left"/>
      <w:pPr>
        <w:ind w:left="4000" w:hanging="400"/>
      </w:pPr>
    </w:lvl>
    <w:lvl w:ilvl="8" w:tplc="0409001B" w:tentative="1">
      <w:start w:val="1"/>
      <w:numFmt w:val="lowerRoman"/>
      <w:lvlText w:val="%9."/>
      <w:lvlJc w:val="right"/>
      <w:pPr>
        <w:ind w:left="4400" w:hanging="400"/>
      </w:pPr>
    </w:lvl>
  </w:abstractNum>
  <w:abstractNum w:abstractNumId="19" w15:restartNumberingAfterBreak="0">
    <w:nsid w:val="757548DC"/>
    <w:multiLevelType w:val="hybridMultilevel"/>
    <w:tmpl w:val="A97A343C"/>
    <w:lvl w:ilvl="0" w:tplc="7D582A08">
      <w:start w:val="1"/>
      <w:numFmt w:val="upperRoman"/>
      <w:lvlText w:val="%1."/>
      <w:lvlJc w:val="left"/>
      <w:pPr>
        <w:ind w:left="1200" w:hanging="400"/>
      </w:pPr>
      <w:rPr>
        <w:rFonts w:hint="eastAsia"/>
      </w:rPr>
    </w:lvl>
    <w:lvl w:ilvl="1" w:tplc="04090019" w:tentative="1">
      <w:start w:val="1"/>
      <w:numFmt w:val="upperLetter"/>
      <w:lvlText w:val="%2."/>
      <w:lvlJc w:val="left"/>
      <w:pPr>
        <w:ind w:left="1600" w:hanging="400"/>
      </w:pPr>
    </w:lvl>
    <w:lvl w:ilvl="2" w:tplc="0409001B" w:tentative="1">
      <w:start w:val="1"/>
      <w:numFmt w:val="lowerRoman"/>
      <w:lvlText w:val="%3."/>
      <w:lvlJc w:val="right"/>
      <w:pPr>
        <w:ind w:left="2000" w:hanging="400"/>
      </w:pPr>
    </w:lvl>
    <w:lvl w:ilvl="3" w:tplc="0409000F" w:tentative="1">
      <w:start w:val="1"/>
      <w:numFmt w:val="decimal"/>
      <w:lvlText w:val="%4."/>
      <w:lvlJc w:val="left"/>
      <w:pPr>
        <w:ind w:left="2400" w:hanging="400"/>
      </w:pPr>
    </w:lvl>
    <w:lvl w:ilvl="4" w:tplc="04090019" w:tentative="1">
      <w:start w:val="1"/>
      <w:numFmt w:val="upperLetter"/>
      <w:lvlText w:val="%5."/>
      <w:lvlJc w:val="left"/>
      <w:pPr>
        <w:ind w:left="2800" w:hanging="400"/>
      </w:pPr>
    </w:lvl>
    <w:lvl w:ilvl="5" w:tplc="0409001B" w:tentative="1">
      <w:start w:val="1"/>
      <w:numFmt w:val="lowerRoman"/>
      <w:lvlText w:val="%6."/>
      <w:lvlJc w:val="right"/>
      <w:pPr>
        <w:ind w:left="3200" w:hanging="400"/>
      </w:pPr>
    </w:lvl>
    <w:lvl w:ilvl="6" w:tplc="0409000F" w:tentative="1">
      <w:start w:val="1"/>
      <w:numFmt w:val="decimal"/>
      <w:lvlText w:val="%7."/>
      <w:lvlJc w:val="left"/>
      <w:pPr>
        <w:ind w:left="3600" w:hanging="400"/>
      </w:pPr>
    </w:lvl>
    <w:lvl w:ilvl="7" w:tplc="04090019" w:tentative="1">
      <w:start w:val="1"/>
      <w:numFmt w:val="upperLetter"/>
      <w:lvlText w:val="%8."/>
      <w:lvlJc w:val="left"/>
      <w:pPr>
        <w:ind w:left="4000" w:hanging="400"/>
      </w:pPr>
    </w:lvl>
    <w:lvl w:ilvl="8" w:tplc="0409001B" w:tentative="1">
      <w:start w:val="1"/>
      <w:numFmt w:val="lowerRoman"/>
      <w:lvlText w:val="%9."/>
      <w:lvlJc w:val="right"/>
      <w:pPr>
        <w:ind w:left="4400" w:hanging="400"/>
      </w:pPr>
    </w:lvl>
  </w:abstractNum>
  <w:abstractNum w:abstractNumId="20" w15:restartNumberingAfterBreak="0">
    <w:nsid w:val="77F0155A"/>
    <w:multiLevelType w:val="hybridMultilevel"/>
    <w:tmpl w:val="F66630C8"/>
    <w:lvl w:ilvl="0" w:tplc="6262E0B4">
      <w:start w:val="1"/>
      <w:numFmt w:val="decimal"/>
      <w:lvlText w:val="(%1)"/>
      <w:lvlJc w:val="left"/>
      <w:pPr>
        <w:ind w:left="1480" w:hanging="360"/>
      </w:pPr>
      <w:rPr>
        <w:rFonts w:hint="default"/>
      </w:rPr>
    </w:lvl>
    <w:lvl w:ilvl="1" w:tplc="04090019" w:tentative="1">
      <w:start w:val="1"/>
      <w:numFmt w:val="upperLetter"/>
      <w:lvlText w:val="%2."/>
      <w:lvlJc w:val="left"/>
      <w:pPr>
        <w:ind w:left="1920" w:hanging="400"/>
      </w:pPr>
    </w:lvl>
    <w:lvl w:ilvl="2" w:tplc="0409001B" w:tentative="1">
      <w:start w:val="1"/>
      <w:numFmt w:val="lowerRoman"/>
      <w:lvlText w:val="%3."/>
      <w:lvlJc w:val="right"/>
      <w:pPr>
        <w:ind w:left="2320" w:hanging="400"/>
      </w:pPr>
    </w:lvl>
    <w:lvl w:ilvl="3" w:tplc="0409000F" w:tentative="1">
      <w:start w:val="1"/>
      <w:numFmt w:val="decimal"/>
      <w:lvlText w:val="%4."/>
      <w:lvlJc w:val="left"/>
      <w:pPr>
        <w:ind w:left="2720" w:hanging="400"/>
      </w:pPr>
    </w:lvl>
    <w:lvl w:ilvl="4" w:tplc="04090019" w:tentative="1">
      <w:start w:val="1"/>
      <w:numFmt w:val="upperLetter"/>
      <w:lvlText w:val="%5."/>
      <w:lvlJc w:val="left"/>
      <w:pPr>
        <w:ind w:left="3120" w:hanging="400"/>
      </w:pPr>
    </w:lvl>
    <w:lvl w:ilvl="5" w:tplc="0409001B" w:tentative="1">
      <w:start w:val="1"/>
      <w:numFmt w:val="lowerRoman"/>
      <w:lvlText w:val="%6."/>
      <w:lvlJc w:val="right"/>
      <w:pPr>
        <w:ind w:left="3520" w:hanging="400"/>
      </w:pPr>
    </w:lvl>
    <w:lvl w:ilvl="6" w:tplc="0409000F" w:tentative="1">
      <w:start w:val="1"/>
      <w:numFmt w:val="decimal"/>
      <w:lvlText w:val="%7."/>
      <w:lvlJc w:val="left"/>
      <w:pPr>
        <w:ind w:left="3920" w:hanging="400"/>
      </w:pPr>
    </w:lvl>
    <w:lvl w:ilvl="7" w:tplc="04090019" w:tentative="1">
      <w:start w:val="1"/>
      <w:numFmt w:val="upperLetter"/>
      <w:lvlText w:val="%8."/>
      <w:lvlJc w:val="left"/>
      <w:pPr>
        <w:ind w:left="4320" w:hanging="400"/>
      </w:pPr>
    </w:lvl>
    <w:lvl w:ilvl="8" w:tplc="0409001B" w:tentative="1">
      <w:start w:val="1"/>
      <w:numFmt w:val="lowerRoman"/>
      <w:lvlText w:val="%9."/>
      <w:lvlJc w:val="right"/>
      <w:pPr>
        <w:ind w:left="4720" w:hanging="400"/>
      </w:pPr>
    </w:lvl>
  </w:abstractNum>
  <w:abstractNum w:abstractNumId="21" w15:restartNumberingAfterBreak="0">
    <w:nsid w:val="79836139"/>
    <w:multiLevelType w:val="hybridMultilevel"/>
    <w:tmpl w:val="881C43B6"/>
    <w:lvl w:ilvl="0" w:tplc="6262E0B4">
      <w:start w:val="1"/>
      <w:numFmt w:val="decimal"/>
      <w:lvlText w:val="(%1)"/>
      <w:lvlJc w:val="left"/>
      <w:pPr>
        <w:ind w:left="1480" w:hanging="360"/>
      </w:pPr>
      <w:rPr>
        <w:rFonts w:hint="default"/>
      </w:rPr>
    </w:lvl>
    <w:lvl w:ilvl="1" w:tplc="04090019" w:tentative="1">
      <w:start w:val="1"/>
      <w:numFmt w:val="upperLetter"/>
      <w:lvlText w:val="%2."/>
      <w:lvlJc w:val="left"/>
      <w:pPr>
        <w:ind w:left="1920" w:hanging="400"/>
      </w:pPr>
    </w:lvl>
    <w:lvl w:ilvl="2" w:tplc="0409001B" w:tentative="1">
      <w:start w:val="1"/>
      <w:numFmt w:val="lowerRoman"/>
      <w:lvlText w:val="%3."/>
      <w:lvlJc w:val="right"/>
      <w:pPr>
        <w:ind w:left="2320" w:hanging="400"/>
      </w:pPr>
    </w:lvl>
    <w:lvl w:ilvl="3" w:tplc="0409000F" w:tentative="1">
      <w:start w:val="1"/>
      <w:numFmt w:val="decimal"/>
      <w:lvlText w:val="%4."/>
      <w:lvlJc w:val="left"/>
      <w:pPr>
        <w:ind w:left="2720" w:hanging="400"/>
      </w:pPr>
    </w:lvl>
    <w:lvl w:ilvl="4" w:tplc="04090019" w:tentative="1">
      <w:start w:val="1"/>
      <w:numFmt w:val="upperLetter"/>
      <w:lvlText w:val="%5."/>
      <w:lvlJc w:val="left"/>
      <w:pPr>
        <w:ind w:left="3120" w:hanging="400"/>
      </w:pPr>
    </w:lvl>
    <w:lvl w:ilvl="5" w:tplc="0409001B" w:tentative="1">
      <w:start w:val="1"/>
      <w:numFmt w:val="lowerRoman"/>
      <w:lvlText w:val="%6."/>
      <w:lvlJc w:val="right"/>
      <w:pPr>
        <w:ind w:left="3520" w:hanging="400"/>
      </w:pPr>
    </w:lvl>
    <w:lvl w:ilvl="6" w:tplc="0409000F" w:tentative="1">
      <w:start w:val="1"/>
      <w:numFmt w:val="decimal"/>
      <w:lvlText w:val="%7."/>
      <w:lvlJc w:val="left"/>
      <w:pPr>
        <w:ind w:left="3920" w:hanging="400"/>
      </w:pPr>
    </w:lvl>
    <w:lvl w:ilvl="7" w:tplc="04090019" w:tentative="1">
      <w:start w:val="1"/>
      <w:numFmt w:val="upperLetter"/>
      <w:lvlText w:val="%8."/>
      <w:lvlJc w:val="left"/>
      <w:pPr>
        <w:ind w:left="4320" w:hanging="400"/>
      </w:pPr>
    </w:lvl>
    <w:lvl w:ilvl="8" w:tplc="0409001B" w:tentative="1">
      <w:start w:val="1"/>
      <w:numFmt w:val="lowerRoman"/>
      <w:lvlText w:val="%9."/>
      <w:lvlJc w:val="right"/>
      <w:pPr>
        <w:ind w:left="4720" w:hanging="400"/>
      </w:pPr>
    </w:lvl>
  </w:abstractNum>
  <w:abstractNum w:abstractNumId="22" w15:restartNumberingAfterBreak="0">
    <w:nsid w:val="7B8873C0"/>
    <w:multiLevelType w:val="hybridMultilevel"/>
    <w:tmpl w:val="CFA205C0"/>
    <w:lvl w:ilvl="0" w:tplc="60C2830C">
      <w:start w:val="1"/>
      <w:numFmt w:val="decimal"/>
      <w:lvlText w:val="%1."/>
      <w:lvlJc w:val="left"/>
      <w:pPr>
        <w:ind w:left="1280" w:hanging="360"/>
      </w:pPr>
      <w:rPr>
        <w:rFonts w:hint="default"/>
      </w:rPr>
    </w:lvl>
    <w:lvl w:ilvl="1" w:tplc="04090019" w:tentative="1">
      <w:start w:val="1"/>
      <w:numFmt w:val="upperLetter"/>
      <w:lvlText w:val="%2."/>
      <w:lvlJc w:val="left"/>
      <w:pPr>
        <w:ind w:left="1720" w:hanging="400"/>
      </w:pPr>
    </w:lvl>
    <w:lvl w:ilvl="2" w:tplc="0409001B" w:tentative="1">
      <w:start w:val="1"/>
      <w:numFmt w:val="lowerRoman"/>
      <w:lvlText w:val="%3."/>
      <w:lvlJc w:val="right"/>
      <w:pPr>
        <w:ind w:left="2120" w:hanging="400"/>
      </w:pPr>
    </w:lvl>
    <w:lvl w:ilvl="3" w:tplc="0409000F" w:tentative="1">
      <w:start w:val="1"/>
      <w:numFmt w:val="decimal"/>
      <w:lvlText w:val="%4."/>
      <w:lvlJc w:val="left"/>
      <w:pPr>
        <w:ind w:left="2520" w:hanging="400"/>
      </w:pPr>
    </w:lvl>
    <w:lvl w:ilvl="4" w:tplc="04090019" w:tentative="1">
      <w:start w:val="1"/>
      <w:numFmt w:val="upperLetter"/>
      <w:lvlText w:val="%5."/>
      <w:lvlJc w:val="left"/>
      <w:pPr>
        <w:ind w:left="2920" w:hanging="400"/>
      </w:pPr>
    </w:lvl>
    <w:lvl w:ilvl="5" w:tplc="0409001B" w:tentative="1">
      <w:start w:val="1"/>
      <w:numFmt w:val="lowerRoman"/>
      <w:lvlText w:val="%6."/>
      <w:lvlJc w:val="right"/>
      <w:pPr>
        <w:ind w:left="3320" w:hanging="400"/>
      </w:pPr>
    </w:lvl>
    <w:lvl w:ilvl="6" w:tplc="0409000F" w:tentative="1">
      <w:start w:val="1"/>
      <w:numFmt w:val="decimal"/>
      <w:lvlText w:val="%7."/>
      <w:lvlJc w:val="left"/>
      <w:pPr>
        <w:ind w:left="3720" w:hanging="400"/>
      </w:pPr>
    </w:lvl>
    <w:lvl w:ilvl="7" w:tplc="04090019" w:tentative="1">
      <w:start w:val="1"/>
      <w:numFmt w:val="upperLetter"/>
      <w:lvlText w:val="%8."/>
      <w:lvlJc w:val="left"/>
      <w:pPr>
        <w:ind w:left="4120" w:hanging="400"/>
      </w:pPr>
    </w:lvl>
    <w:lvl w:ilvl="8" w:tplc="0409001B" w:tentative="1">
      <w:start w:val="1"/>
      <w:numFmt w:val="lowerRoman"/>
      <w:lvlText w:val="%9."/>
      <w:lvlJc w:val="right"/>
      <w:pPr>
        <w:ind w:left="4520" w:hanging="400"/>
      </w:pPr>
    </w:lvl>
  </w:abstractNum>
  <w:abstractNum w:abstractNumId="23" w15:restartNumberingAfterBreak="0">
    <w:nsid w:val="7FEB22E0"/>
    <w:multiLevelType w:val="hybridMultilevel"/>
    <w:tmpl w:val="325A387C"/>
    <w:lvl w:ilvl="0" w:tplc="47D422A4">
      <w:start w:val="1"/>
      <w:numFmt w:val="lowerLetter"/>
      <w:lvlText w:val="%1."/>
      <w:lvlJc w:val="left"/>
      <w:pPr>
        <w:ind w:left="1160" w:hanging="360"/>
      </w:pPr>
      <w:rPr>
        <w:rFonts w:hint="default"/>
      </w:rPr>
    </w:lvl>
    <w:lvl w:ilvl="1" w:tplc="04090019" w:tentative="1">
      <w:start w:val="1"/>
      <w:numFmt w:val="upperLetter"/>
      <w:lvlText w:val="%2."/>
      <w:lvlJc w:val="left"/>
      <w:pPr>
        <w:ind w:left="1600" w:hanging="400"/>
      </w:pPr>
    </w:lvl>
    <w:lvl w:ilvl="2" w:tplc="0409001B" w:tentative="1">
      <w:start w:val="1"/>
      <w:numFmt w:val="lowerRoman"/>
      <w:lvlText w:val="%3."/>
      <w:lvlJc w:val="right"/>
      <w:pPr>
        <w:ind w:left="2000" w:hanging="400"/>
      </w:pPr>
    </w:lvl>
    <w:lvl w:ilvl="3" w:tplc="0409000F" w:tentative="1">
      <w:start w:val="1"/>
      <w:numFmt w:val="decimal"/>
      <w:lvlText w:val="%4."/>
      <w:lvlJc w:val="left"/>
      <w:pPr>
        <w:ind w:left="2400" w:hanging="400"/>
      </w:pPr>
    </w:lvl>
    <w:lvl w:ilvl="4" w:tplc="04090019" w:tentative="1">
      <w:start w:val="1"/>
      <w:numFmt w:val="upperLetter"/>
      <w:lvlText w:val="%5."/>
      <w:lvlJc w:val="left"/>
      <w:pPr>
        <w:ind w:left="2800" w:hanging="400"/>
      </w:pPr>
    </w:lvl>
    <w:lvl w:ilvl="5" w:tplc="0409001B" w:tentative="1">
      <w:start w:val="1"/>
      <w:numFmt w:val="lowerRoman"/>
      <w:lvlText w:val="%6."/>
      <w:lvlJc w:val="right"/>
      <w:pPr>
        <w:ind w:left="3200" w:hanging="400"/>
      </w:pPr>
    </w:lvl>
    <w:lvl w:ilvl="6" w:tplc="0409000F" w:tentative="1">
      <w:start w:val="1"/>
      <w:numFmt w:val="decimal"/>
      <w:lvlText w:val="%7."/>
      <w:lvlJc w:val="left"/>
      <w:pPr>
        <w:ind w:left="3600" w:hanging="400"/>
      </w:pPr>
    </w:lvl>
    <w:lvl w:ilvl="7" w:tplc="04090019" w:tentative="1">
      <w:start w:val="1"/>
      <w:numFmt w:val="upperLetter"/>
      <w:lvlText w:val="%8."/>
      <w:lvlJc w:val="left"/>
      <w:pPr>
        <w:ind w:left="4000" w:hanging="400"/>
      </w:pPr>
    </w:lvl>
    <w:lvl w:ilvl="8" w:tplc="0409001B" w:tentative="1">
      <w:start w:val="1"/>
      <w:numFmt w:val="lowerRoman"/>
      <w:lvlText w:val="%9."/>
      <w:lvlJc w:val="right"/>
      <w:pPr>
        <w:ind w:left="4400" w:hanging="400"/>
      </w:pPr>
    </w:lvl>
  </w:abstractNum>
  <w:num w:numId="1">
    <w:abstractNumId w:val="17"/>
  </w:num>
  <w:num w:numId="2">
    <w:abstractNumId w:val="14"/>
  </w:num>
  <w:num w:numId="3">
    <w:abstractNumId w:val="15"/>
  </w:num>
  <w:num w:numId="4">
    <w:abstractNumId w:val="9"/>
  </w:num>
  <w:num w:numId="5">
    <w:abstractNumId w:val="1"/>
  </w:num>
  <w:num w:numId="6">
    <w:abstractNumId w:val="19"/>
  </w:num>
  <w:num w:numId="7">
    <w:abstractNumId w:val="11"/>
  </w:num>
  <w:num w:numId="8">
    <w:abstractNumId w:val="3"/>
  </w:num>
  <w:num w:numId="9">
    <w:abstractNumId w:val="13"/>
  </w:num>
  <w:num w:numId="10">
    <w:abstractNumId w:val="21"/>
  </w:num>
  <w:num w:numId="11">
    <w:abstractNumId w:val="23"/>
  </w:num>
  <w:num w:numId="12">
    <w:abstractNumId w:val="20"/>
  </w:num>
  <w:num w:numId="13">
    <w:abstractNumId w:val="0"/>
  </w:num>
  <w:num w:numId="14">
    <w:abstractNumId w:val="16"/>
  </w:num>
  <w:num w:numId="15">
    <w:abstractNumId w:val="7"/>
  </w:num>
  <w:num w:numId="16">
    <w:abstractNumId w:val="18"/>
  </w:num>
  <w:num w:numId="17">
    <w:abstractNumId w:val="5"/>
  </w:num>
  <w:num w:numId="18">
    <w:abstractNumId w:val="22"/>
  </w:num>
  <w:num w:numId="19">
    <w:abstractNumId w:val="6"/>
  </w:num>
  <w:num w:numId="20">
    <w:abstractNumId w:val="2"/>
  </w:num>
  <w:num w:numId="21">
    <w:abstractNumId w:val="4"/>
  </w:num>
  <w:num w:numId="22">
    <w:abstractNumId w:val="8"/>
  </w:num>
  <w:num w:numId="23">
    <w:abstractNumId w:val="12"/>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4"/>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67C"/>
    <w:rsid w:val="00002540"/>
    <w:rsid w:val="00003479"/>
    <w:rsid w:val="0000429C"/>
    <w:rsid w:val="0000481B"/>
    <w:rsid w:val="00004E9B"/>
    <w:rsid w:val="000065B6"/>
    <w:rsid w:val="00011010"/>
    <w:rsid w:val="00011B4E"/>
    <w:rsid w:val="00012B42"/>
    <w:rsid w:val="00013ED6"/>
    <w:rsid w:val="00014C8F"/>
    <w:rsid w:val="00015525"/>
    <w:rsid w:val="00016A96"/>
    <w:rsid w:val="00016B69"/>
    <w:rsid w:val="00020380"/>
    <w:rsid w:val="000203AE"/>
    <w:rsid w:val="00020551"/>
    <w:rsid w:val="00020D67"/>
    <w:rsid w:val="00020E4C"/>
    <w:rsid w:val="00021849"/>
    <w:rsid w:val="00024F2D"/>
    <w:rsid w:val="000250A8"/>
    <w:rsid w:val="00025128"/>
    <w:rsid w:val="00025D62"/>
    <w:rsid w:val="00025F3F"/>
    <w:rsid w:val="00026753"/>
    <w:rsid w:val="000271E6"/>
    <w:rsid w:val="000300C8"/>
    <w:rsid w:val="00030D63"/>
    <w:rsid w:val="000325EE"/>
    <w:rsid w:val="00032C4D"/>
    <w:rsid w:val="000331F3"/>
    <w:rsid w:val="0003568A"/>
    <w:rsid w:val="000357D3"/>
    <w:rsid w:val="00035EC0"/>
    <w:rsid w:val="000364BF"/>
    <w:rsid w:val="000379AC"/>
    <w:rsid w:val="00040188"/>
    <w:rsid w:val="00041B92"/>
    <w:rsid w:val="00042C8D"/>
    <w:rsid w:val="00043C9A"/>
    <w:rsid w:val="0004470A"/>
    <w:rsid w:val="00045668"/>
    <w:rsid w:val="00046C43"/>
    <w:rsid w:val="00050D1A"/>
    <w:rsid w:val="000527FE"/>
    <w:rsid w:val="00052CCA"/>
    <w:rsid w:val="00053443"/>
    <w:rsid w:val="000549B4"/>
    <w:rsid w:val="000549DA"/>
    <w:rsid w:val="000550DA"/>
    <w:rsid w:val="000558F0"/>
    <w:rsid w:val="00056818"/>
    <w:rsid w:val="00057D28"/>
    <w:rsid w:val="00060DE4"/>
    <w:rsid w:val="00061253"/>
    <w:rsid w:val="0006187A"/>
    <w:rsid w:val="00061EDD"/>
    <w:rsid w:val="00063FC2"/>
    <w:rsid w:val="00065A46"/>
    <w:rsid w:val="00066836"/>
    <w:rsid w:val="00066FAC"/>
    <w:rsid w:val="00067AAD"/>
    <w:rsid w:val="00067D7E"/>
    <w:rsid w:val="00070A11"/>
    <w:rsid w:val="000711D9"/>
    <w:rsid w:val="00071C5E"/>
    <w:rsid w:val="00071F5C"/>
    <w:rsid w:val="00072206"/>
    <w:rsid w:val="00072315"/>
    <w:rsid w:val="0007284A"/>
    <w:rsid w:val="00074329"/>
    <w:rsid w:val="00074357"/>
    <w:rsid w:val="000744FF"/>
    <w:rsid w:val="00074788"/>
    <w:rsid w:val="000753BC"/>
    <w:rsid w:val="00076015"/>
    <w:rsid w:val="0007621C"/>
    <w:rsid w:val="000762AF"/>
    <w:rsid w:val="0007688B"/>
    <w:rsid w:val="0008006A"/>
    <w:rsid w:val="00080329"/>
    <w:rsid w:val="0008032C"/>
    <w:rsid w:val="0008089C"/>
    <w:rsid w:val="00083028"/>
    <w:rsid w:val="000836EC"/>
    <w:rsid w:val="00084DB6"/>
    <w:rsid w:val="00086935"/>
    <w:rsid w:val="0008769D"/>
    <w:rsid w:val="000911EB"/>
    <w:rsid w:val="00091D1A"/>
    <w:rsid w:val="00091F2D"/>
    <w:rsid w:val="00093678"/>
    <w:rsid w:val="00096124"/>
    <w:rsid w:val="00097CAA"/>
    <w:rsid w:val="000A18DD"/>
    <w:rsid w:val="000A26F1"/>
    <w:rsid w:val="000A4237"/>
    <w:rsid w:val="000A4464"/>
    <w:rsid w:val="000A5407"/>
    <w:rsid w:val="000A5D28"/>
    <w:rsid w:val="000A69E6"/>
    <w:rsid w:val="000A76DF"/>
    <w:rsid w:val="000B0B52"/>
    <w:rsid w:val="000B0EF3"/>
    <w:rsid w:val="000B10FE"/>
    <w:rsid w:val="000B1C0C"/>
    <w:rsid w:val="000B2EEB"/>
    <w:rsid w:val="000B4827"/>
    <w:rsid w:val="000B4B76"/>
    <w:rsid w:val="000B6058"/>
    <w:rsid w:val="000B6AC9"/>
    <w:rsid w:val="000B6F94"/>
    <w:rsid w:val="000B70C0"/>
    <w:rsid w:val="000B7E03"/>
    <w:rsid w:val="000C033F"/>
    <w:rsid w:val="000C0A9A"/>
    <w:rsid w:val="000C0F13"/>
    <w:rsid w:val="000C24C8"/>
    <w:rsid w:val="000C5469"/>
    <w:rsid w:val="000C62CF"/>
    <w:rsid w:val="000C6907"/>
    <w:rsid w:val="000C6FFD"/>
    <w:rsid w:val="000C71B0"/>
    <w:rsid w:val="000C7C15"/>
    <w:rsid w:val="000C7F8E"/>
    <w:rsid w:val="000D1F29"/>
    <w:rsid w:val="000D21CA"/>
    <w:rsid w:val="000D21DE"/>
    <w:rsid w:val="000D6820"/>
    <w:rsid w:val="000D71C2"/>
    <w:rsid w:val="000D750A"/>
    <w:rsid w:val="000D7678"/>
    <w:rsid w:val="000E02E4"/>
    <w:rsid w:val="000E0BFE"/>
    <w:rsid w:val="000E0C34"/>
    <w:rsid w:val="000E16AD"/>
    <w:rsid w:val="000E26CA"/>
    <w:rsid w:val="000E3FAB"/>
    <w:rsid w:val="000E4728"/>
    <w:rsid w:val="000E4C70"/>
    <w:rsid w:val="000E4FA8"/>
    <w:rsid w:val="000E6A92"/>
    <w:rsid w:val="000E7585"/>
    <w:rsid w:val="000E76D0"/>
    <w:rsid w:val="000F05E6"/>
    <w:rsid w:val="000F14A0"/>
    <w:rsid w:val="000F26C8"/>
    <w:rsid w:val="000F3930"/>
    <w:rsid w:val="000F3FC0"/>
    <w:rsid w:val="000F4A42"/>
    <w:rsid w:val="000F683A"/>
    <w:rsid w:val="000F6A14"/>
    <w:rsid w:val="0010015E"/>
    <w:rsid w:val="00101700"/>
    <w:rsid w:val="00101706"/>
    <w:rsid w:val="00102419"/>
    <w:rsid w:val="001024A7"/>
    <w:rsid w:val="0010366C"/>
    <w:rsid w:val="0010480F"/>
    <w:rsid w:val="001065E1"/>
    <w:rsid w:val="0010663A"/>
    <w:rsid w:val="001072D2"/>
    <w:rsid w:val="00107927"/>
    <w:rsid w:val="00107BD1"/>
    <w:rsid w:val="001111BA"/>
    <w:rsid w:val="00112D62"/>
    <w:rsid w:val="001130A1"/>
    <w:rsid w:val="00113328"/>
    <w:rsid w:val="001150A4"/>
    <w:rsid w:val="001165E9"/>
    <w:rsid w:val="00120C81"/>
    <w:rsid w:val="001235E4"/>
    <w:rsid w:val="001266A2"/>
    <w:rsid w:val="00126A4A"/>
    <w:rsid w:val="00126D77"/>
    <w:rsid w:val="0012791B"/>
    <w:rsid w:val="00130B85"/>
    <w:rsid w:val="00131698"/>
    <w:rsid w:val="00133021"/>
    <w:rsid w:val="00133B84"/>
    <w:rsid w:val="00135B90"/>
    <w:rsid w:val="00136E2D"/>
    <w:rsid w:val="00140476"/>
    <w:rsid w:val="00140C71"/>
    <w:rsid w:val="00140D00"/>
    <w:rsid w:val="00141907"/>
    <w:rsid w:val="001422B7"/>
    <w:rsid w:val="00142DAE"/>
    <w:rsid w:val="00143343"/>
    <w:rsid w:val="001444BC"/>
    <w:rsid w:val="001453B1"/>
    <w:rsid w:val="00145EDC"/>
    <w:rsid w:val="00146E90"/>
    <w:rsid w:val="00147C1E"/>
    <w:rsid w:val="00150BE1"/>
    <w:rsid w:val="00150C3C"/>
    <w:rsid w:val="00150FA6"/>
    <w:rsid w:val="00152073"/>
    <w:rsid w:val="001521A6"/>
    <w:rsid w:val="0015389A"/>
    <w:rsid w:val="00153E01"/>
    <w:rsid w:val="0015659D"/>
    <w:rsid w:val="0015660F"/>
    <w:rsid w:val="001612B1"/>
    <w:rsid w:val="00165070"/>
    <w:rsid w:val="00165C5E"/>
    <w:rsid w:val="00166647"/>
    <w:rsid w:val="0016688F"/>
    <w:rsid w:val="00170F9A"/>
    <w:rsid w:val="00171522"/>
    <w:rsid w:val="0017158D"/>
    <w:rsid w:val="00172548"/>
    <w:rsid w:val="0017379C"/>
    <w:rsid w:val="00174323"/>
    <w:rsid w:val="00175AAB"/>
    <w:rsid w:val="0017627E"/>
    <w:rsid w:val="00176A0E"/>
    <w:rsid w:val="00176D75"/>
    <w:rsid w:val="00177155"/>
    <w:rsid w:val="001807FF"/>
    <w:rsid w:val="00181E14"/>
    <w:rsid w:val="00183003"/>
    <w:rsid w:val="00183997"/>
    <w:rsid w:val="00183BA7"/>
    <w:rsid w:val="00184DB3"/>
    <w:rsid w:val="00185527"/>
    <w:rsid w:val="00185848"/>
    <w:rsid w:val="00185E03"/>
    <w:rsid w:val="00186D73"/>
    <w:rsid w:val="00187DE6"/>
    <w:rsid w:val="00192352"/>
    <w:rsid w:val="0019406D"/>
    <w:rsid w:val="00195039"/>
    <w:rsid w:val="001954F1"/>
    <w:rsid w:val="00196C8C"/>
    <w:rsid w:val="00196F9C"/>
    <w:rsid w:val="00197282"/>
    <w:rsid w:val="001974A0"/>
    <w:rsid w:val="00197D67"/>
    <w:rsid w:val="001A0B88"/>
    <w:rsid w:val="001A0D0D"/>
    <w:rsid w:val="001A0F22"/>
    <w:rsid w:val="001A1088"/>
    <w:rsid w:val="001A10FC"/>
    <w:rsid w:val="001A1BCB"/>
    <w:rsid w:val="001A25DB"/>
    <w:rsid w:val="001A6CD6"/>
    <w:rsid w:val="001A7E14"/>
    <w:rsid w:val="001B30A3"/>
    <w:rsid w:val="001B34E2"/>
    <w:rsid w:val="001B35B8"/>
    <w:rsid w:val="001B35CA"/>
    <w:rsid w:val="001B3694"/>
    <w:rsid w:val="001B529A"/>
    <w:rsid w:val="001B59AB"/>
    <w:rsid w:val="001B5E72"/>
    <w:rsid w:val="001B6A96"/>
    <w:rsid w:val="001B7A59"/>
    <w:rsid w:val="001C0A00"/>
    <w:rsid w:val="001C0C8B"/>
    <w:rsid w:val="001C407F"/>
    <w:rsid w:val="001C42DA"/>
    <w:rsid w:val="001C5050"/>
    <w:rsid w:val="001C55EC"/>
    <w:rsid w:val="001C560C"/>
    <w:rsid w:val="001C7227"/>
    <w:rsid w:val="001C7A77"/>
    <w:rsid w:val="001D04A4"/>
    <w:rsid w:val="001D0A31"/>
    <w:rsid w:val="001D1143"/>
    <w:rsid w:val="001D2114"/>
    <w:rsid w:val="001D3A28"/>
    <w:rsid w:val="001D3BE2"/>
    <w:rsid w:val="001D46F0"/>
    <w:rsid w:val="001D5BD4"/>
    <w:rsid w:val="001D5DE9"/>
    <w:rsid w:val="001D5EE0"/>
    <w:rsid w:val="001D5FFB"/>
    <w:rsid w:val="001D6B4D"/>
    <w:rsid w:val="001D7897"/>
    <w:rsid w:val="001D7AE2"/>
    <w:rsid w:val="001E125B"/>
    <w:rsid w:val="001E200A"/>
    <w:rsid w:val="001E2654"/>
    <w:rsid w:val="001E301E"/>
    <w:rsid w:val="001E3D24"/>
    <w:rsid w:val="001E5041"/>
    <w:rsid w:val="001E50CD"/>
    <w:rsid w:val="001E639B"/>
    <w:rsid w:val="001E71D7"/>
    <w:rsid w:val="001E71F4"/>
    <w:rsid w:val="001E7FF3"/>
    <w:rsid w:val="001F043F"/>
    <w:rsid w:val="001F0478"/>
    <w:rsid w:val="001F262E"/>
    <w:rsid w:val="001F2BE0"/>
    <w:rsid w:val="001F683E"/>
    <w:rsid w:val="001F6D4F"/>
    <w:rsid w:val="00202EC3"/>
    <w:rsid w:val="00204238"/>
    <w:rsid w:val="00204D6C"/>
    <w:rsid w:val="002053CC"/>
    <w:rsid w:val="00205B17"/>
    <w:rsid w:val="00207421"/>
    <w:rsid w:val="00207916"/>
    <w:rsid w:val="00207E51"/>
    <w:rsid w:val="00207EDA"/>
    <w:rsid w:val="00213362"/>
    <w:rsid w:val="00215538"/>
    <w:rsid w:val="0021733F"/>
    <w:rsid w:val="00220861"/>
    <w:rsid w:val="002210CE"/>
    <w:rsid w:val="00221151"/>
    <w:rsid w:val="002216D4"/>
    <w:rsid w:val="00221EF6"/>
    <w:rsid w:val="002221A5"/>
    <w:rsid w:val="0022415F"/>
    <w:rsid w:val="002256A8"/>
    <w:rsid w:val="00225B87"/>
    <w:rsid w:val="0022661C"/>
    <w:rsid w:val="002272A7"/>
    <w:rsid w:val="00231743"/>
    <w:rsid w:val="00232AD9"/>
    <w:rsid w:val="002348D0"/>
    <w:rsid w:val="00235BC1"/>
    <w:rsid w:val="00235E03"/>
    <w:rsid w:val="00236633"/>
    <w:rsid w:val="00240A1D"/>
    <w:rsid w:val="00241067"/>
    <w:rsid w:val="00242DF7"/>
    <w:rsid w:val="002432ED"/>
    <w:rsid w:val="00243591"/>
    <w:rsid w:val="002436B9"/>
    <w:rsid w:val="00243B49"/>
    <w:rsid w:val="00245893"/>
    <w:rsid w:val="00245ADA"/>
    <w:rsid w:val="00246F87"/>
    <w:rsid w:val="00247860"/>
    <w:rsid w:val="00251A1D"/>
    <w:rsid w:val="00251CF1"/>
    <w:rsid w:val="002521DD"/>
    <w:rsid w:val="00253B56"/>
    <w:rsid w:val="002553C3"/>
    <w:rsid w:val="00255EA9"/>
    <w:rsid w:val="00255FE1"/>
    <w:rsid w:val="0025604E"/>
    <w:rsid w:val="002563CE"/>
    <w:rsid w:val="0025679D"/>
    <w:rsid w:val="00257798"/>
    <w:rsid w:val="00257ACB"/>
    <w:rsid w:val="00262341"/>
    <w:rsid w:val="00262C43"/>
    <w:rsid w:val="002631F3"/>
    <w:rsid w:val="002632AB"/>
    <w:rsid w:val="0026410F"/>
    <w:rsid w:val="0026506D"/>
    <w:rsid w:val="002652D8"/>
    <w:rsid w:val="002661A2"/>
    <w:rsid w:val="00266A72"/>
    <w:rsid w:val="00266BD8"/>
    <w:rsid w:val="00266E28"/>
    <w:rsid w:val="00267742"/>
    <w:rsid w:val="00270B8D"/>
    <w:rsid w:val="0027158C"/>
    <w:rsid w:val="00271D10"/>
    <w:rsid w:val="002742AE"/>
    <w:rsid w:val="0027434B"/>
    <w:rsid w:val="002753B3"/>
    <w:rsid w:val="00275987"/>
    <w:rsid w:val="00275CE7"/>
    <w:rsid w:val="00275FC8"/>
    <w:rsid w:val="002803C3"/>
    <w:rsid w:val="0028102F"/>
    <w:rsid w:val="0028168B"/>
    <w:rsid w:val="00281CEE"/>
    <w:rsid w:val="00282F3B"/>
    <w:rsid w:val="002846D6"/>
    <w:rsid w:val="00284AF3"/>
    <w:rsid w:val="00285E0D"/>
    <w:rsid w:val="002865B2"/>
    <w:rsid w:val="00287161"/>
    <w:rsid w:val="00287C12"/>
    <w:rsid w:val="00291635"/>
    <w:rsid w:val="00291739"/>
    <w:rsid w:val="00291D4B"/>
    <w:rsid w:val="00291EEE"/>
    <w:rsid w:val="00292E85"/>
    <w:rsid w:val="00292E9B"/>
    <w:rsid w:val="002954DF"/>
    <w:rsid w:val="00295C67"/>
    <w:rsid w:val="00297248"/>
    <w:rsid w:val="00297A7C"/>
    <w:rsid w:val="00297E05"/>
    <w:rsid w:val="002A1B78"/>
    <w:rsid w:val="002A223C"/>
    <w:rsid w:val="002A2E77"/>
    <w:rsid w:val="002A4C40"/>
    <w:rsid w:val="002A5A9B"/>
    <w:rsid w:val="002A6483"/>
    <w:rsid w:val="002A69D6"/>
    <w:rsid w:val="002A6C74"/>
    <w:rsid w:val="002A7D15"/>
    <w:rsid w:val="002B060A"/>
    <w:rsid w:val="002B1F7A"/>
    <w:rsid w:val="002B22B8"/>
    <w:rsid w:val="002B4024"/>
    <w:rsid w:val="002B56CA"/>
    <w:rsid w:val="002B6AFA"/>
    <w:rsid w:val="002B7481"/>
    <w:rsid w:val="002B7F9B"/>
    <w:rsid w:val="002C06E5"/>
    <w:rsid w:val="002C1299"/>
    <w:rsid w:val="002C1B38"/>
    <w:rsid w:val="002C1C16"/>
    <w:rsid w:val="002C1E5E"/>
    <w:rsid w:val="002C2D2A"/>
    <w:rsid w:val="002C49D1"/>
    <w:rsid w:val="002C6267"/>
    <w:rsid w:val="002C68B3"/>
    <w:rsid w:val="002C6F4B"/>
    <w:rsid w:val="002C7574"/>
    <w:rsid w:val="002C7FA1"/>
    <w:rsid w:val="002D09E3"/>
    <w:rsid w:val="002D0C31"/>
    <w:rsid w:val="002D2068"/>
    <w:rsid w:val="002D25A4"/>
    <w:rsid w:val="002D28EE"/>
    <w:rsid w:val="002D600D"/>
    <w:rsid w:val="002D614B"/>
    <w:rsid w:val="002D6522"/>
    <w:rsid w:val="002D67BF"/>
    <w:rsid w:val="002D7EA9"/>
    <w:rsid w:val="002E24DA"/>
    <w:rsid w:val="002E2904"/>
    <w:rsid w:val="002E37BF"/>
    <w:rsid w:val="002E3F65"/>
    <w:rsid w:val="002E441E"/>
    <w:rsid w:val="002E4B9C"/>
    <w:rsid w:val="002E7C2F"/>
    <w:rsid w:val="002F02CA"/>
    <w:rsid w:val="002F47E6"/>
    <w:rsid w:val="002F605A"/>
    <w:rsid w:val="002F74EB"/>
    <w:rsid w:val="002F7D97"/>
    <w:rsid w:val="00300430"/>
    <w:rsid w:val="003010DA"/>
    <w:rsid w:val="0030284D"/>
    <w:rsid w:val="003045A3"/>
    <w:rsid w:val="00304DC6"/>
    <w:rsid w:val="00305C18"/>
    <w:rsid w:val="00305C97"/>
    <w:rsid w:val="003075CE"/>
    <w:rsid w:val="00307BFF"/>
    <w:rsid w:val="00310184"/>
    <w:rsid w:val="00311388"/>
    <w:rsid w:val="003117B3"/>
    <w:rsid w:val="00311CD4"/>
    <w:rsid w:val="00312E90"/>
    <w:rsid w:val="003134C2"/>
    <w:rsid w:val="00313C9C"/>
    <w:rsid w:val="003141A8"/>
    <w:rsid w:val="00314E0D"/>
    <w:rsid w:val="0031634C"/>
    <w:rsid w:val="0031651F"/>
    <w:rsid w:val="003202B4"/>
    <w:rsid w:val="00320360"/>
    <w:rsid w:val="00320492"/>
    <w:rsid w:val="00320AF6"/>
    <w:rsid w:val="0032127C"/>
    <w:rsid w:val="00322BB6"/>
    <w:rsid w:val="00323118"/>
    <w:rsid w:val="00323FA1"/>
    <w:rsid w:val="00324346"/>
    <w:rsid w:val="00325267"/>
    <w:rsid w:val="00326B71"/>
    <w:rsid w:val="00327909"/>
    <w:rsid w:val="00331CAF"/>
    <w:rsid w:val="00332600"/>
    <w:rsid w:val="00332B7B"/>
    <w:rsid w:val="003331CE"/>
    <w:rsid w:val="00333E4A"/>
    <w:rsid w:val="00334622"/>
    <w:rsid w:val="0033468B"/>
    <w:rsid w:val="00334E21"/>
    <w:rsid w:val="003359FD"/>
    <w:rsid w:val="00335E21"/>
    <w:rsid w:val="003361F1"/>
    <w:rsid w:val="003362E1"/>
    <w:rsid w:val="0034253C"/>
    <w:rsid w:val="00342572"/>
    <w:rsid w:val="00342D6A"/>
    <w:rsid w:val="00342D7A"/>
    <w:rsid w:val="00343F07"/>
    <w:rsid w:val="0034406C"/>
    <w:rsid w:val="003449D1"/>
    <w:rsid w:val="00350903"/>
    <w:rsid w:val="00351CDC"/>
    <w:rsid w:val="00351E5E"/>
    <w:rsid w:val="003526EE"/>
    <w:rsid w:val="00353742"/>
    <w:rsid w:val="00354CD7"/>
    <w:rsid w:val="00354E8F"/>
    <w:rsid w:val="00355685"/>
    <w:rsid w:val="00356FF0"/>
    <w:rsid w:val="003575D5"/>
    <w:rsid w:val="00363947"/>
    <w:rsid w:val="003643E0"/>
    <w:rsid w:val="00364D9A"/>
    <w:rsid w:val="00365030"/>
    <w:rsid w:val="00366616"/>
    <w:rsid w:val="00366BBA"/>
    <w:rsid w:val="00366D44"/>
    <w:rsid w:val="00367377"/>
    <w:rsid w:val="00367A99"/>
    <w:rsid w:val="003705EB"/>
    <w:rsid w:val="00370681"/>
    <w:rsid w:val="00370A9D"/>
    <w:rsid w:val="00372190"/>
    <w:rsid w:val="00372670"/>
    <w:rsid w:val="003727E1"/>
    <w:rsid w:val="00373775"/>
    <w:rsid w:val="003748A7"/>
    <w:rsid w:val="0037529C"/>
    <w:rsid w:val="00377967"/>
    <w:rsid w:val="00377D03"/>
    <w:rsid w:val="00380643"/>
    <w:rsid w:val="003828BF"/>
    <w:rsid w:val="003833B1"/>
    <w:rsid w:val="00384C45"/>
    <w:rsid w:val="00385B48"/>
    <w:rsid w:val="0038747E"/>
    <w:rsid w:val="003874BD"/>
    <w:rsid w:val="00391AB0"/>
    <w:rsid w:val="00393061"/>
    <w:rsid w:val="00394BE8"/>
    <w:rsid w:val="00394E2D"/>
    <w:rsid w:val="00396FEB"/>
    <w:rsid w:val="003978F0"/>
    <w:rsid w:val="003A0C1E"/>
    <w:rsid w:val="003A201D"/>
    <w:rsid w:val="003A42BE"/>
    <w:rsid w:val="003A55D1"/>
    <w:rsid w:val="003A5766"/>
    <w:rsid w:val="003A5CEA"/>
    <w:rsid w:val="003A6359"/>
    <w:rsid w:val="003A68B8"/>
    <w:rsid w:val="003A76E6"/>
    <w:rsid w:val="003A7910"/>
    <w:rsid w:val="003B01B2"/>
    <w:rsid w:val="003B0A77"/>
    <w:rsid w:val="003B174F"/>
    <w:rsid w:val="003B1F9B"/>
    <w:rsid w:val="003B24AC"/>
    <w:rsid w:val="003B2786"/>
    <w:rsid w:val="003B382A"/>
    <w:rsid w:val="003B44C8"/>
    <w:rsid w:val="003B463A"/>
    <w:rsid w:val="003B4AAB"/>
    <w:rsid w:val="003B521F"/>
    <w:rsid w:val="003B5AA2"/>
    <w:rsid w:val="003B7D08"/>
    <w:rsid w:val="003C0000"/>
    <w:rsid w:val="003C1E74"/>
    <w:rsid w:val="003C3D98"/>
    <w:rsid w:val="003C49B1"/>
    <w:rsid w:val="003C5260"/>
    <w:rsid w:val="003D12B8"/>
    <w:rsid w:val="003D1C7D"/>
    <w:rsid w:val="003D36F7"/>
    <w:rsid w:val="003D3B56"/>
    <w:rsid w:val="003D50A8"/>
    <w:rsid w:val="003D60C2"/>
    <w:rsid w:val="003D61E1"/>
    <w:rsid w:val="003D63D4"/>
    <w:rsid w:val="003D6447"/>
    <w:rsid w:val="003D68D1"/>
    <w:rsid w:val="003D77D1"/>
    <w:rsid w:val="003E01B8"/>
    <w:rsid w:val="003E16E3"/>
    <w:rsid w:val="003E1FAE"/>
    <w:rsid w:val="003E2A03"/>
    <w:rsid w:val="003E4020"/>
    <w:rsid w:val="003E4B6F"/>
    <w:rsid w:val="003E59F4"/>
    <w:rsid w:val="003E5AAA"/>
    <w:rsid w:val="003E73EC"/>
    <w:rsid w:val="003E7850"/>
    <w:rsid w:val="003F050A"/>
    <w:rsid w:val="003F1190"/>
    <w:rsid w:val="003F15ED"/>
    <w:rsid w:val="003F2C20"/>
    <w:rsid w:val="003F4144"/>
    <w:rsid w:val="003F58F6"/>
    <w:rsid w:val="003F64E3"/>
    <w:rsid w:val="003F6BF0"/>
    <w:rsid w:val="003F6FCB"/>
    <w:rsid w:val="003F79C7"/>
    <w:rsid w:val="003F7B83"/>
    <w:rsid w:val="004013ED"/>
    <w:rsid w:val="004016FF"/>
    <w:rsid w:val="00403CEF"/>
    <w:rsid w:val="00405705"/>
    <w:rsid w:val="00405CBA"/>
    <w:rsid w:val="00407A82"/>
    <w:rsid w:val="00410EE4"/>
    <w:rsid w:val="004134B4"/>
    <w:rsid w:val="0041376B"/>
    <w:rsid w:val="00417C8E"/>
    <w:rsid w:val="00417E32"/>
    <w:rsid w:val="004219BB"/>
    <w:rsid w:val="004224A3"/>
    <w:rsid w:val="004245B4"/>
    <w:rsid w:val="004245E9"/>
    <w:rsid w:val="0042551D"/>
    <w:rsid w:val="0042557E"/>
    <w:rsid w:val="00425C95"/>
    <w:rsid w:val="0042623F"/>
    <w:rsid w:val="0042632C"/>
    <w:rsid w:val="004269E0"/>
    <w:rsid w:val="004270DD"/>
    <w:rsid w:val="004302B2"/>
    <w:rsid w:val="004306FB"/>
    <w:rsid w:val="004335A7"/>
    <w:rsid w:val="00434BBB"/>
    <w:rsid w:val="00435577"/>
    <w:rsid w:val="004403E6"/>
    <w:rsid w:val="00441A87"/>
    <w:rsid w:val="00441FA4"/>
    <w:rsid w:val="00441FF1"/>
    <w:rsid w:val="0044212B"/>
    <w:rsid w:val="00443C29"/>
    <w:rsid w:val="00447B8A"/>
    <w:rsid w:val="00452CD1"/>
    <w:rsid w:val="00453693"/>
    <w:rsid w:val="0045487E"/>
    <w:rsid w:val="004554AE"/>
    <w:rsid w:val="0045586C"/>
    <w:rsid w:val="0045604D"/>
    <w:rsid w:val="00456487"/>
    <w:rsid w:val="00457A20"/>
    <w:rsid w:val="00457ECC"/>
    <w:rsid w:val="004604B7"/>
    <w:rsid w:val="004605B3"/>
    <w:rsid w:val="004618AC"/>
    <w:rsid w:val="00463659"/>
    <w:rsid w:val="004646C5"/>
    <w:rsid w:val="004654F7"/>
    <w:rsid w:val="00465D62"/>
    <w:rsid w:val="00466001"/>
    <w:rsid w:val="004662A0"/>
    <w:rsid w:val="00472337"/>
    <w:rsid w:val="00475390"/>
    <w:rsid w:val="00475B38"/>
    <w:rsid w:val="00475CF2"/>
    <w:rsid w:val="0047774C"/>
    <w:rsid w:val="00480631"/>
    <w:rsid w:val="00481881"/>
    <w:rsid w:val="00481FB0"/>
    <w:rsid w:val="00482139"/>
    <w:rsid w:val="004826C5"/>
    <w:rsid w:val="00482BAD"/>
    <w:rsid w:val="00483945"/>
    <w:rsid w:val="00486908"/>
    <w:rsid w:val="0048725B"/>
    <w:rsid w:val="0048794C"/>
    <w:rsid w:val="00487C7B"/>
    <w:rsid w:val="004903A3"/>
    <w:rsid w:val="00491F88"/>
    <w:rsid w:val="00491FED"/>
    <w:rsid w:val="00492996"/>
    <w:rsid w:val="00492FBB"/>
    <w:rsid w:val="004930CF"/>
    <w:rsid w:val="004941A5"/>
    <w:rsid w:val="0049422C"/>
    <w:rsid w:val="00494D92"/>
    <w:rsid w:val="004953D2"/>
    <w:rsid w:val="00495EE0"/>
    <w:rsid w:val="0049655B"/>
    <w:rsid w:val="00496D44"/>
    <w:rsid w:val="004A0112"/>
    <w:rsid w:val="004A364D"/>
    <w:rsid w:val="004A3CEE"/>
    <w:rsid w:val="004A79E8"/>
    <w:rsid w:val="004A7FBF"/>
    <w:rsid w:val="004B137F"/>
    <w:rsid w:val="004B2CDE"/>
    <w:rsid w:val="004B41A8"/>
    <w:rsid w:val="004B467C"/>
    <w:rsid w:val="004B52D7"/>
    <w:rsid w:val="004B53C6"/>
    <w:rsid w:val="004B770F"/>
    <w:rsid w:val="004C1496"/>
    <w:rsid w:val="004C18E3"/>
    <w:rsid w:val="004C323A"/>
    <w:rsid w:val="004C44C0"/>
    <w:rsid w:val="004C5201"/>
    <w:rsid w:val="004C52E8"/>
    <w:rsid w:val="004C59AD"/>
    <w:rsid w:val="004C5C3F"/>
    <w:rsid w:val="004C5DB0"/>
    <w:rsid w:val="004C6555"/>
    <w:rsid w:val="004C7103"/>
    <w:rsid w:val="004C7455"/>
    <w:rsid w:val="004C7E3C"/>
    <w:rsid w:val="004D1782"/>
    <w:rsid w:val="004D2F2F"/>
    <w:rsid w:val="004D4E95"/>
    <w:rsid w:val="004D603F"/>
    <w:rsid w:val="004D6AEA"/>
    <w:rsid w:val="004D6DF4"/>
    <w:rsid w:val="004D72BC"/>
    <w:rsid w:val="004D77AD"/>
    <w:rsid w:val="004E057F"/>
    <w:rsid w:val="004E2930"/>
    <w:rsid w:val="004E2AFC"/>
    <w:rsid w:val="004E63A3"/>
    <w:rsid w:val="004E6A34"/>
    <w:rsid w:val="004E6D7B"/>
    <w:rsid w:val="004E6EFE"/>
    <w:rsid w:val="004E7B8F"/>
    <w:rsid w:val="004E7F4D"/>
    <w:rsid w:val="004E7F70"/>
    <w:rsid w:val="004E7FA8"/>
    <w:rsid w:val="004F04C4"/>
    <w:rsid w:val="004F067D"/>
    <w:rsid w:val="004F23E3"/>
    <w:rsid w:val="004F2715"/>
    <w:rsid w:val="004F2D6E"/>
    <w:rsid w:val="004F38B2"/>
    <w:rsid w:val="004F5B7C"/>
    <w:rsid w:val="004F5FBF"/>
    <w:rsid w:val="004F7BBD"/>
    <w:rsid w:val="00500464"/>
    <w:rsid w:val="00500A57"/>
    <w:rsid w:val="00501FA0"/>
    <w:rsid w:val="00504BD5"/>
    <w:rsid w:val="005054FA"/>
    <w:rsid w:val="005069C7"/>
    <w:rsid w:val="005076AD"/>
    <w:rsid w:val="005100C0"/>
    <w:rsid w:val="00510614"/>
    <w:rsid w:val="00510EFC"/>
    <w:rsid w:val="00512FCC"/>
    <w:rsid w:val="00515B58"/>
    <w:rsid w:val="005169C5"/>
    <w:rsid w:val="00516D13"/>
    <w:rsid w:val="00520447"/>
    <w:rsid w:val="005208E1"/>
    <w:rsid w:val="005238C3"/>
    <w:rsid w:val="00524526"/>
    <w:rsid w:val="0052527D"/>
    <w:rsid w:val="0052573F"/>
    <w:rsid w:val="00526A58"/>
    <w:rsid w:val="00526F91"/>
    <w:rsid w:val="005277BF"/>
    <w:rsid w:val="00527C9B"/>
    <w:rsid w:val="00530810"/>
    <w:rsid w:val="0053152E"/>
    <w:rsid w:val="00532E5E"/>
    <w:rsid w:val="00533BB2"/>
    <w:rsid w:val="0053410F"/>
    <w:rsid w:val="0053443E"/>
    <w:rsid w:val="005350D9"/>
    <w:rsid w:val="00536792"/>
    <w:rsid w:val="0053797F"/>
    <w:rsid w:val="005407C7"/>
    <w:rsid w:val="00542106"/>
    <w:rsid w:val="00542187"/>
    <w:rsid w:val="00544375"/>
    <w:rsid w:val="0054492C"/>
    <w:rsid w:val="00547295"/>
    <w:rsid w:val="005477DC"/>
    <w:rsid w:val="00547E13"/>
    <w:rsid w:val="005543E6"/>
    <w:rsid w:val="00554EFB"/>
    <w:rsid w:val="00555553"/>
    <w:rsid w:val="00555E53"/>
    <w:rsid w:val="00556A26"/>
    <w:rsid w:val="0055711B"/>
    <w:rsid w:val="005574E9"/>
    <w:rsid w:val="00557872"/>
    <w:rsid w:val="005600D7"/>
    <w:rsid w:val="005609C6"/>
    <w:rsid w:val="005611DE"/>
    <w:rsid w:val="00561DDE"/>
    <w:rsid w:val="005625F2"/>
    <w:rsid w:val="0056283B"/>
    <w:rsid w:val="0056295B"/>
    <w:rsid w:val="0056388B"/>
    <w:rsid w:val="00564E66"/>
    <w:rsid w:val="005651E4"/>
    <w:rsid w:val="00565AC2"/>
    <w:rsid w:val="00565C24"/>
    <w:rsid w:val="00565E20"/>
    <w:rsid w:val="00566148"/>
    <w:rsid w:val="00570AC8"/>
    <w:rsid w:val="0057289F"/>
    <w:rsid w:val="00572D9F"/>
    <w:rsid w:val="005739C4"/>
    <w:rsid w:val="00573D80"/>
    <w:rsid w:val="00575945"/>
    <w:rsid w:val="00576FBE"/>
    <w:rsid w:val="00577032"/>
    <w:rsid w:val="005779A6"/>
    <w:rsid w:val="0058043F"/>
    <w:rsid w:val="00580CC4"/>
    <w:rsid w:val="00580D4F"/>
    <w:rsid w:val="00581B9B"/>
    <w:rsid w:val="0058366F"/>
    <w:rsid w:val="00583B32"/>
    <w:rsid w:val="00585088"/>
    <w:rsid w:val="0058554B"/>
    <w:rsid w:val="0058627E"/>
    <w:rsid w:val="00586414"/>
    <w:rsid w:val="0058683C"/>
    <w:rsid w:val="00586CF6"/>
    <w:rsid w:val="00590358"/>
    <w:rsid w:val="0059040D"/>
    <w:rsid w:val="00590DF7"/>
    <w:rsid w:val="00591CC9"/>
    <w:rsid w:val="00591DF1"/>
    <w:rsid w:val="0059358D"/>
    <w:rsid w:val="005935F2"/>
    <w:rsid w:val="005938B6"/>
    <w:rsid w:val="005942B8"/>
    <w:rsid w:val="005952D1"/>
    <w:rsid w:val="005962D9"/>
    <w:rsid w:val="005966D4"/>
    <w:rsid w:val="005A0C8E"/>
    <w:rsid w:val="005A16E4"/>
    <w:rsid w:val="005A1787"/>
    <w:rsid w:val="005A2612"/>
    <w:rsid w:val="005A269C"/>
    <w:rsid w:val="005A2B1D"/>
    <w:rsid w:val="005A4B3D"/>
    <w:rsid w:val="005A5D69"/>
    <w:rsid w:val="005A6173"/>
    <w:rsid w:val="005A7943"/>
    <w:rsid w:val="005B0D92"/>
    <w:rsid w:val="005B3102"/>
    <w:rsid w:val="005B359F"/>
    <w:rsid w:val="005B39DE"/>
    <w:rsid w:val="005B5A94"/>
    <w:rsid w:val="005B7C6D"/>
    <w:rsid w:val="005C0C74"/>
    <w:rsid w:val="005C2817"/>
    <w:rsid w:val="005C29C8"/>
    <w:rsid w:val="005C3415"/>
    <w:rsid w:val="005C6DFB"/>
    <w:rsid w:val="005C7AB2"/>
    <w:rsid w:val="005C7D1A"/>
    <w:rsid w:val="005D0073"/>
    <w:rsid w:val="005D0C39"/>
    <w:rsid w:val="005D1A22"/>
    <w:rsid w:val="005D2953"/>
    <w:rsid w:val="005D3111"/>
    <w:rsid w:val="005D3360"/>
    <w:rsid w:val="005D4408"/>
    <w:rsid w:val="005D50AD"/>
    <w:rsid w:val="005D6262"/>
    <w:rsid w:val="005D6D31"/>
    <w:rsid w:val="005D73B7"/>
    <w:rsid w:val="005D769F"/>
    <w:rsid w:val="005E08ED"/>
    <w:rsid w:val="005E09F3"/>
    <w:rsid w:val="005E2437"/>
    <w:rsid w:val="005E3459"/>
    <w:rsid w:val="005E3C9D"/>
    <w:rsid w:val="005E4177"/>
    <w:rsid w:val="005E6F88"/>
    <w:rsid w:val="005E7274"/>
    <w:rsid w:val="005E79EE"/>
    <w:rsid w:val="005E7F5E"/>
    <w:rsid w:val="005F08B8"/>
    <w:rsid w:val="005F1284"/>
    <w:rsid w:val="005F1916"/>
    <w:rsid w:val="005F1A2C"/>
    <w:rsid w:val="005F2884"/>
    <w:rsid w:val="005F3AA7"/>
    <w:rsid w:val="005F3DDD"/>
    <w:rsid w:val="005F45CD"/>
    <w:rsid w:val="005F48F6"/>
    <w:rsid w:val="005F5B16"/>
    <w:rsid w:val="005F6051"/>
    <w:rsid w:val="005F69AC"/>
    <w:rsid w:val="005F74D7"/>
    <w:rsid w:val="006004D3"/>
    <w:rsid w:val="0060140E"/>
    <w:rsid w:val="00603303"/>
    <w:rsid w:val="0060488F"/>
    <w:rsid w:val="00604E9E"/>
    <w:rsid w:val="00605759"/>
    <w:rsid w:val="006057B7"/>
    <w:rsid w:val="00606621"/>
    <w:rsid w:val="0060664E"/>
    <w:rsid w:val="00606FAD"/>
    <w:rsid w:val="00607A7B"/>
    <w:rsid w:val="006102AF"/>
    <w:rsid w:val="0061112F"/>
    <w:rsid w:val="006117A5"/>
    <w:rsid w:val="00611B8E"/>
    <w:rsid w:val="0061337A"/>
    <w:rsid w:val="00613FF0"/>
    <w:rsid w:val="00614071"/>
    <w:rsid w:val="00614863"/>
    <w:rsid w:val="00616B52"/>
    <w:rsid w:val="00617380"/>
    <w:rsid w:val="006173C1"/>
    <w:rsid w:val="00617F27"/>
    <w:rsid w:val="00620B43"/>
    <w:rsid w:val="006213CA"/>
    <w:rsid w:val="0062176A"/>
    <w:rsid w:val="0062197D"/>
    <w:rsid w:val="0062215B"/>
    <w:rsid w:val="00622A09"/>
    <w:rsid w:val="00622DE8"/>
    <w:rsid w:val="006236FE"/>
    <w:rsid w:val="00624C2E"/>
    <w:rsid w:val="006257FD"/>
    <w:rsid w:val="00625A06"/>
    <w:rsid w:val="00625E26"/>
    <w:rsid w:val="00631B10"/>
    <w:rsid w:val="006325F5"/>
    <w:rsid w:val="006338A3"/>
    <w:rsid w:val="00636EE2"/>
    <w:rsid w:val="00637A34"/>
    <w:rsid w:val="00641A96"/>
    <w:rsid w:val="00645C4B"/>
    <w:rsid w:val="00645D20"/>
    <w:rsid w:val="00645F24"/>
    <w:rsid w:val="006472B8"/>
    <w:rsid w:val="0065007C"/>
    <w:rsid w:val="006508DA"/>
    <w:rsid w:val="0065092C"/>
    <w:rsid w:val="00651033"/>
    <w:rsid w:val="00652E5F"/>
    <w:rsid w:val="00653741"/>
    <w:rsid w:val="0065504C"/>
    <w:rsid w:val="00655CDA"/>
    <w:rsid w:val="00655F05"/>
    <w:rsid w:val="00656E84"/>
    <w:rsid w:val="00656EDB"/>
    <w:rsid w:val="0065722A"/>
    <w:rsid w:val="00660501"/>
    <w:rsid w:val="00661CFC"/>
    <w:rsid w:val="00662394"/>
    <w:rsid w:val="00662F0B"/>
    <w:rsid w:val="00666040"/>
    <w:rsid w:val="006668BB"/>
    <w:rsid w:val="00666FE8"/>
    <w:rsid w:val="0066704B"/>
    <w:rsid w:val="00673623"/>
    <w:rsid w:val="00673D45"/>
    <w:rsid w:val="00673FC4"/>
    <w:rsid w:val="00674826"/>
    <w:rsid w:val="00674AC3"/>
    <w:rsid w:val="0067596B"/>
    <w:rsid w:val="00675E04"/>
    <w:rsid w:val="00675E73"/>
    <w:rsid w:val="006767A9"/>
    <w:rsid w:val="00677D78"/>
    <w:rsid w:val="0068062F"/>
    <w:rsid w:val="00681647"/>
    <w:rsid w:val="00682FE4"/>
    <w:rsid w:val="006853C7"/>
    <w:rsid w:val="00686D07"/>
    <w:rsid w:val="006875E2"/>
    <w:rsid w:val="006878E3"/>
    <w:rsid w:val="00687AEE"/>
    <w:rsid w:val="00687F68"/>
    <w:rsid w:val="00690222"/>
    <w:rsid w:val="0069060C"/>
    <w:rsid w:val="00690A5B"/>
    <w:rsid w:val="00690B73"/>
    <w:rsid w:val="00691C9A"/>
    <w:rsid w:val="00693093"/>
    <w:rsid w:val="0069367F"/>
    <w:rsid w:val="00694694"/>
    <w:rsid w:val="00697B8B"/>
    <w:rsid w:val="006A0799"/>
    <w:rsid w:val="006A1125"/>
    <w:rsid w:val="006A1369"/>
    <w:rsid w:val="006A23F1"/>
    <w:rsid w:val="006A6C44"/>
    <w:rsid w:val="006A709C"/>
    <w:rsid w:val="006B0350"/>
    <w:rsid w:val="006B2319"/>
    <w:rsid w:val="006B283B"/>
    <w:rsid w:val="006B2EC5"/>
    <w:rsid w:val="006B31BA"/>
    <w:rsid w:val="006B496B"/>
    <w:rsid w:val="006B538D"/>
    <w:rsid w:val="006B63FE"/>
    <w:rsid w:val="006B6DFD"/>
    <w:rsid w:val="006B739C"/>
    <w:rsid w:val="006C2CE6"/>
    <w:rsid w:val="006C3156"/>
    <w:rsid w:val="006C3649"/>
    <w:rsid w:val="006C3CBA"/>
    <w:rsid w:val="006C48E5"/>
    <w:rsid w:val="006C49C9"/>
    <w:rsid w:val="006C4C8D"/>
    <w:rsid w:val="006C5DE2"/>
    <w:rsid w:val="006C5E02"/>
    <w:rsid w:val="006C7DA5"/>
    <w:rsid w:val="006D1755"/>
    <w:rsid w:val="006D234D"/>
    <w:rsid w:val="006D286E"/>
    <w:rsid w:val="006D32D8"/>
    <w:rsid w:val="006D3386"/>
    <w:rsid w:val="006D3BB2"/>
    <w:rsid w:val="006D46C7"/>
    <w:rsid w:val="006D4A95"/>
    <w:rsid w:val="006D554A"/>
    <w:rsid w:val="006D5EF2"/>
    <w:rsid w:val="006D7F05"/>
    <w:rsid w:val="006E15DC"/>
    <w:rsid w:val="006E16A5"/>
    <w:rsid w:val="006E2125"/>
    <w:rsid w:val="006E466D"/>
    <w:rsid w:val="006E48D2"/>
    <w:rsid w:val="006E4CCC"/>
    <w:rsid w:val="006E6A35"/>
    <w:rsid w:val="006E71CF"/>
    <w:rsid w:val="006F135D"/>
    <w:rsid w:val="006F1EA4"/>
    <w:rsid w:val="006F2654"/>
    <w:rsid w:val="006F2918"/>
    <w:rsid w:val="006F2E4E"/>
    <w:rsid w:val="006F326C"/>
    <w:rsid w:val="006F3FB5"/>
    <w:rsid w:val="006F436B"/>
    <w:rsid w:val="006F4DA5"/>
    <w:rsid w:val="006F673F"/>
    <w:rsid w:val="006F692D"/>
    <w:rsid w:val="006F6ACD"/>
    <w:rsid w:val="006F750A"/>
    <w:rsid w:val="006F79C7"/>
    <w:rsid w:val="007011F7"/>
    <w:rsid w:val="007034FD"/>
    <w:rsid w:val="00704DDE"/>
    <w:rsid w:val="00704FDC"/>
    <w:rsid w:val="00705115"/>
    <w:rsid w:val="007059FA"/>
    <w:rsid w:val="00711BC9"/>
    <w:rsid w:val="00712897"/>
    <w:rsid w:val="007133F9"/>
    <w:rsid w:val="00713683"/>
    <w:rsid w:val="00713733"/>
    <w:rsid w:val="00713787"/>
    <w:rsid w:val="007148BC"/>
    <w:rsid w:val="00714CF4"/>
    <w:rsid w:val="00714E8A"/>
    <w:rsid w:val="00715D89"/>
    <w:rsid w:val="007160FC"/>
    <w:rsid w:val="007165BB"/>
    <w:rsid w:val="00716C6C"/>
    <w:rsid w:val="0071710E"/>
    <w:rsid w:val="007171E2"/>
    <w:rsid w:val="007177CD"/>
    <w:rsid w:val="00717C64"/>
    <w:rsid w:val="00720F15"/>
    <w:rsid w:val="007216AB"/>
    <w:rsid w:val="00721DC5"/>
    <w:rsid w:val="007225A7"/>
    <w:rsid w:val="00722EC4"/>
    <w:rsid w:val="00723D53"/>
    <w:rsid w:val="00724951"/>
    <w:rsid w:val="00725667"/>
    <w:rsid w:val="007279FB"/>
    <w:rsid w:val="00727AD1"/>
    <w:rsid w:val="00730627"/>
    <w:rsid w:val="00730D7A"/>
    <w:rsid w:val="0073117E"/>
    <w:rsid w:val="00731B9A"/>
    <w:rsid w:val="00732C8B"/>
    <w:rsid w:val="00733C1A"/>
    <w:rsid w:val="00735180"/>
    <w:rsid w:val="007351CB"/>
    <w:rsid w:val="0073525B"/>
    <w:rsid w:val="0073529D"/>
    <w:rsid w:val="00735915"/>
    <w:rsid w:val="007363FA"/>
    <w:rsid w:val="00736734"/>
    <w:rsid w:val="00736B14"/>
    <w:rsid w:val="0073792E"/>
    <w:rsid w:val="007400AB"/>
    <w:rsid w:val="0074344F"/>
    <w:rsid w:val="00745A1A"/>
    <w:rsid w:val="007472B5"/>
    <w:rsid w:val="007472C7"/>
    <w:rsid w:val="0075130F"/>
    <w:rsid w:val="007519E6"/>
    <w:rsid w:val="00753CFB"/>
    <w:rsid w:val="0075477F"/>
    <w:rsid w:val="00756D6F"/>
    <w:rsid w:val="007604FD"/>
    <w:rsid w:val="00761008"/>
    <w:rsid w:val="00761703"/>
    <w:rsid w:val="007622B7"/>
    <w:rsid w:val="007627D0"/>
    <w:rsid w:val="00762E1E"/>
    <w:rsid w:val="00763799"/>
    <w:rsid w:val="0076400C"/>
    <w:rsid w:val="00764646"/>
    <w:rsid w:val="00765222"/>
    <w:rsid w:val="0076538A"/>
    <w:rsid w:val="00765B41"/>
    <w:rsid w:val="007661DE"/>
    <w:rsid w:val="00766888"/>
    <w:rsid w:val="0076781A"/>
    <w:rsid w:val="00770E5E"/>
    <w:rsid w:val="007710E0"/>
    <w:rsid w:val="00773117"/>
    <w:rsid w:val="00774493"/>
    <w:rsid w:val="0077533B"/>
    <w:rsid w:val="0077643E"/>
    <w:rsid w:val="007764E5"/>
    <w:rsid w:val="00776909"/>
    <w:rsid w:val="007813CD"/>
    <w:rsid w:val="00781C2B"/>
    <w:rsid w:val="00782549"/>
    <w:rsid w:val="007856C3"/>
    <w:rsid w:val="0078776D"/>
    <w:rsid w:val="0079036D"/>
    <w:rsid w:val="00791FF5"/>
    <w:rsid w:val="00792A7C"/>
    <w:rsid w:val="00792A9D"/>
    <w:rsid w:val="00792DFB"/>
    <w:rsid w:val="00793843"/>
    <w:rsid w:val="00793B3E"/>
    <w:rsid w:val="00795944"/>
    <w:rsid w:val="0079795A"/>
    <w:rsid w:val="00797B00"/>
    <w:rsid w:val="007A359A"/>
    <w:rsid w:val="007A38E9"/>
    <w:rsid w:val="007A4A91"/>
    <w:rsid w:val="007A5398"/>
    <w:rsid w:val="007A5E5F"/>
    <w:rsid w:val="007A6056"/>
    <w:rsid w:val="007A649B"/>
    <w:rsid w:val="007A6BAF"/>
    <w:rsid w:val="007A71C4"/>
    <w:rsid w:val="007A773D"/>
    <w:rsid w:val="007B0102"/>
    <w:rsid w:val="007B03FA"/>
    <w:rsid w:val="007B11A4"/>
    <w:rsid w:val="007B2240"/>
    <w:rsid w:val="007B3A02"/>
    <w:rsid w:val="007B3B23"/>
    <w:rsid w:val="007B59B3"/>
    <w:rsid w:val="007B66D3"/>
    <w:rsid w:val="007B6E71"/>
    <w:rsid w:val="007B763F"/>
    <w:rsid w:val="007C0142"/>
    <w:rsid w:val="007C12D3"/>
    <w:rsid w:val="007C1318"/>
    <w:rsid w:val="007C1CCA"/>
    <w:rsid w:val="007C20D7"/>
    <w:rsid w:val="007C5175"/>
    <w:rsid w:val="007C5216"/>
    <w:rsid w:val="007C6A31"/>
    <w:rsid w:val="007C6E22"/>
    <w:rsid w:val="007C76EC"/>
    <w:rsid w:val="007D02E1"/>
    <w:rsid w:val="007D1953"/>
    <w:rsid w:val="007D2A0E"/>
    <w:rsid w:val="007D2CC9"/>
    <w:rsid w:val="007D371D"/>
    <w:rsid w:val="007D56AF"/>
    <w:rsid w:val="007D7001"/>
    <w:rsid w:val="007D710A"/>
    <w:rsid w:val="007D7504"/>
    <w:rsid w:val="007D7556"/>
    <w:rsid w:val="007D7A4A"/>
    <w:rsid w:val="007E0BA7"/>
    <w:rsid w:val="007E1790"/>
    <w:rsid w:val="007E2AB4"/>
    <w:rsid w:val="007E5640"/>
    <w:rsid w:val="007E6072"/>
    <w:rsid w:val="007F003D"/>
    <w:rsid w:val="007F00CC"/>
    <w:rsid w:val="007F0C05"/>
    <w:rsid w:val="007F154E"/>
    <w:rsid w:val="007F17CD"/>
    <w:rsid w:val="007F3A2D"/>
    <w:rsid w:val="007F4DC4"/>
    <w:rsid w:val="007F6192"/>
    <w:rsid w:val="007F745E"/>
    <w:rsid w:val="008008FC"/>
    <w:rsid w:val="0080285E"/>
    <w:rsid w:val="00803238"/>
    <w:rsid w:val="00803A3F"/>
    <w:rsid w:val="0080410C"/>
    <w:rsid w:val="0080491D"/>
    <w:rsid w:val="00805290"/>
    <w:rsid w:val="008061EB"/>
    <w:rsid w:val="00806D23"/>
    <w:rsid w:val="00807F0D"/>
    <w:rsid w:val="008118C8"/>
    <w:rsid w:val="00811988"/>
    <w:rsid w:val="00814A7E"/>
    <w:rsid w:val="0081625F"/>
    <w:rsid w:val="00816CEE"/>
    <w:rsid w:val="00816EDC"/>
    <w:rsid w:val="008179AE"/>
    <w:rsid w:val="00817D58"/>
    <w:rsid w:val="008202EE"/>
    <w:rsid w:val="008204F5"/>
    <w:rsid w:val="00822010"/>
    <w:rsid w:val="0082246B"/>
    <w:rsid w:val="008237A5"/>
    <w:rsid w:val="008237EA"/>
    <w:rsid w:val="008243F5"/>
    <w:rsid w:val="008257E8"/>
    <w:rsid w:val="008257FB"/>
    <w:rsid w:val="00827081"/>
    <w:rsid w:val="00827D56"/>
    <w:rsid w:val="00830600"/>
    <w:rsid w:val="00830AB1"/>
    <w:rsid w:val="00830DEA"/>
    <w:rsid w:val="0083368E"/>
    <w:rsid w:val="00833C4A"/>
    <w:rsid w:val="008342F1"/>
    <w:rsid w:val="008349B7"/>
    <w:rsid w:val="00834DCE"/>
    <w:rsid w:val="008354FE"/>
    <w:rsid w:val="008371BB"/>
    <w:rsid w:val="00840A61"/>
    <w:rsid w:val="00841508"/>
    <w:rsid w:val="00842222"/>
    <w:rsid w:val="0084274F"/>
    <w:rsid w:val="0084294D"/>
    <w:rsid w:val="00842A28"/>
    <w:rsid w:val="00842DED"/>
    <w:rsid w:val="008469FC"/>
    <w:rsid w:val="00847531"/>
    <w:rsid w:val="00850401"/>
    <w:rsid w:val="00850AF6"/>
    <w:rsid w:val="00850F5F"/>
    <w:rsid w:val="00851080"/>
    <w:rsid w:val="008520F1"/>
    <w:rsid w:val="00852E38"/>
    <w:rsid w:val="00854664"/>
    <w:rsid w:val="00854EAF"/>
    <w:rsid w:val="0085585D"/>
    <w:rsid w:val="00855F6E"/>
    <w:rsid w:val="0085742B"/>
    <w:rsid w:val="008575D1"/>
    <w:rsid w:val="00857CBA"/>
    <w:rsid w:val="00860E9C"/>
    <w:rsid w:val="0086200D"/>
    <w:rsid w:val="008628F6"/>
    <w:rsid w:val="008634B3"/>
    <w:rsid w:val="00865065"/>
    <w:rsid w:val="008653D8"/>
    <w:rsid w:val="00865D34"/>
    <w:rsid w:val="00867D44"/>
    <w:rsid w:val="008701C9"/>
    <w:rsid w:val="00870409"/>
    <w:rsid w:val="008712FE"/>
    <w:rsid w:val="00872306"/>
    <w:rsid w:val="00873B7D"/>
    <w:rsid w:val="00874382"/>
    <w:rsid w:val="008746AC"/>
    <w:rsid w:val="00875284"/>
    <w:rsid w:val="00876808"/>
    <w:rsid w:val="0087688B"/>
    <w:rsid w:val="0087746B"/>
    <w:rsid w:val="0087775B"/>
    <w:rsid w:val="00877B22"/>
    <w:rsid w:val="0088013B"/>
    <w:rsid w:val="00880733"/>
    <w:rsid w:val="00880953"/>
    <w:rsid w:val="00883995"/>
    <w:rsid w:val="00885BE6"/>
    <w:rsid w:val="0088640F"/>
    <w:rsid w:val="00886A46"/>
    <w:rsid w:val="0088770D"/>
    <w:rsid w:val="00887D14"/>
    <w:rsid w:val="00890576"/>
    <w:rsid w:val="00890A6B"/>
    <w:rsid w:val="008936D7"/>
    <w:rsid w:val="00893826"/>
    <w:rsid w:val="00893D3B"/>
    <w:rsid w:val="008A0520"/>
    <w:rsid w:val="008A12AA"/>
    <w:rsid w:val="008A28C5"/>
    <w:rsid w:val="008A2D30"/>
    <w:rsid w:val="008A4035"/>
    <w:rsid w:val="008A427F"/>
    <w:rsid w:val="008A4980"/>
    <w:rsid w:val="008A7CFB"/>
    <w:rsid w:val="008A7FB6"/>
    <w:rsid w:val="008B0336"/>
    <w:rsid w:val="008B084B"/>
    <w:rsid w:val="008B21A5"/>
    <w:rsid w:val="008B22A8"/>
    <w:rsid w:val="008B22F3"/>
    <w:rsid w:val="008B5388"/>
    <w:rsid w:val="008B5C36"/>
    <w:rsid w:val="008B5C54"/>
    <w:rsid w:val="008B6B23"/>
    <w:rsid w:val="008B6F0B"/>
    <w:rsid w:val="008C1A99"/>
    <w:rsid w:val="008C2224"/>
    <w:rsid w:val="008C2442"/>
    <w:rsid w:val="008C249B"/>
    <w:rsid w:val="008C278E"/>
    <w:rsid w:val="008C2A6F"/>
    <w:rsid w:val="008C63BD"/>
    <w:rsid w:val="008C6649"/>
    <w:rsid w:val="008C6F38"/>
    <w:rsid w:val="008C7DCC"/>
    <w:rsid w:val="008D06B3"/>
    <w:rsid w:val="008D06E4"/>
    <w:rsid w:val="008D1008"/>
    <w:rsid w:val="008D1AA1"/>
    <w:rsid w:val="008D28EB"/>
    <w:rsid w:val="008D2A9B"/>
    <w:rsid w:val="008D3255"/>
    <w:rsid w:val="008D3772"/>
    <w:rsid w:val="008D51CD"/>
    <w:rsid w:val="008D539B"/>
    <w:rsid w:val="008D53EE"/>
    <w:rsid w:val="008D57B0"/>
    <w:rsid w:val="008D65BF"/>
    <w:rsid w:val="008D730B"/>
    <w:rsid w:val="008D7D63"/>
    <w:rsid w:val="008E0151"/>
    <w:rsid w:val="008E0DD1"/>
    <w:rsid w:val="008E0FB9"/>
    <w:rsid w:val="008E2008"/>
    <w:rsid w:val="008E225C"/>
    <w:rsid w:val="008E2F54"/>
    <w:rsid w:val="008E3071"/>
    <w:rsid w:val="008E30BF"/>
    <w:rsid w:val="008E4814"/>
    <w:rsid w:val="008E4E1C"/>
    <w:rsid w:val="008E4E72"/>
    <w:rsid w:val="008E6969"/>
    <w:rsid w:val="008E7034"/>
    <w:rsid w:val="008F0B8C"/>
    <w:rsid w:val="008F2DDF"/>
    <w:rsid w:val="008F2EE9"/>
    <w:rsid w:val="008F4DD4"/>
    <w:rsid w:val="008F51C4"/>
    <w:rsid w:val="008F6055"/>
    <w:rsid w:val="008F67E5"/>
    <w:rsid w:val="008F6B4B"/>
    <w:rsid w:val="008F781E"/>
    <w:rsid w:val="008F7CC2"/>
    <w:rsid w:val="009001DA"/>
    <w:rsid w:val="00900854"/>
    <w:rsid w:val="00900C7F"/>
    <w:rsid w:val="00900F69"/>
    <w:rsid w:val="00902E0D"/>
    <w:rsid w:val="00903519"/>
    <w:rsid w:val="009054F4"/>
    <w:rsid w:val="009055AD"/>
    <w:rsid w:val="009058CB"/>
    <w:rsid w:val="00905E0E"/>
    <w:rsid w:val="00910752"/>
    <w:rsid w:val="009121D5"/>
    <w:rsid w:val="00912842"/>
    <w:rsid w:val="00915022"/>
    <w:rsid w:val="0091529D"/>
    <w:rsid w:val="009156A7"/>
    <w:rsid w:val="00915A98"/>
    <w:rsid w:val="00915BB9"/>
    <w:rsid w:val="00916151"/>
    <w:rsid w:val="009167A7"/>
    <w:rsid w:val="00916E13"/>
    <w:rsid w:val="00921300"/>
    <w:rsid w:val="009215F7"/>
    <w:rsid w:val="00922D8B"/>
    <w:rsid w:val="009232ED"/>
    <w:rsid w:val="009234DA"/>
    <w:rsid w:val="00924906"/>
    <w:rsid w:val="009249AD"/>
    <w:rsid w:val="00924FD5"/>
    <w:rsid w:val="0092583F"/>
    <w:rsid w:val="00926255"/>
    <w:rsid w:val="00926775"/>
    <w:rsid w:val="009268AB"/>
    <w:rsid w:val="0092714C"/>
    <w:rsid w:val="009273E0"/>
    <w:rsid w:val="009278B5"/>
    <w:rsid w:val="00927E70"/>
    <w:rsid w:val="009310EE"/>
    <w:rsid w:val="00932A3C"/>
    <w:rsid w:val="009342FB"/>
    <w:rsid w:val="009344AC"/>
    <w:rsid w:val="00934C2E"/>
    <w:rsid w:val="00935E2E"/>
    <w:rsid w:val="009361B5"/>
    <w:rsid w:val="0093644A"/>
    <w:rsid w:val="009368E6"/>
    <w:rsid w:val="0093780C"/>
    <w:rsid w:val="00937886"/>
    <w:rsid w:val="00937B80"/>
    <w:rsid w:val="00937D3A"/>
    <w:rsid w:val="0094123C"/>
    <w:rsid w:val="00941798"/>
    <w:rsid w:val="00942416"/>
    <w:rsid w:val="00942D7B"/>
    <w:rsid w:val="0094381D"/>
    <w:rsid w:val="00944818"/>
    <w:rsid w:val="00944D2F"/>
    <w:rsid w:val="00946613"/>
    <w:rsid w:val="00947035"/>
    <w:rsid w:val="00947B63"/>
    <w:rsid w:val="009521E0"/>
    <w:rsid w:val="009538E4"/>
    <w:rsid w:val="00953B44"/>
    <w:rsid w:val="009607AD"/>
    <w:rsid w:val="00961211"/>
    <w:rsid w:val="00961442"/>
    <w:rsid w:val="0096144B"/>
    <w:rsid w:val="00962637"/>
    <w:rsid w:val="00962712"/>
    <w:rsid w:val="00962AF5"/>
    <w:rsid w:val="009632F0"/>
    <w:rsid w:val="00963309"/>
    <w:rsid w:val="009660FB"/>
    <w:rsid w:val="00966317"/>
    <w:rsid w:val="00966E7D"/>
    <w:rsid w:val="00966F42"/>
    <w:rsid w:val="009675E3"/>
    <w:rsid w:val="00967CA9"/>
    <w:rsid w:val="00967F06"/>
    <w:rsid w:val="009722D0"/>
    <w:rsid w:val="009725F6"/>
    <w:rsid w:val="00974057"/>
    <w:rsid w:val="00975F36"/>
    <w:rsid w:val="00976287"/>
    <w:rsid w:val="009765B1"/>
    <w:rsid w:val="00976799"/>
    <w:rsid w:val="00976BFA"/>
    <w:rsid w:val="00980047"/>
    <w:rsid w:val="00982E22"/>
    <w:rsid w:val="00983414"/>
    <w:rsid w:val="00983E76"/>
    <w:rsid w:val="00984559"/>
    <w:rsid w:val="009870AC"/>
    <w:rsid w:val="00987554"/>
    <w:rsid w:val="00992F9D"/>
    <w:rsid w:val="009935DE"/>
    <w:rsid w:val="00995AF9"/>
    <w:rsid w:val="009962DD"/>
    <w:rsid w:val="00996A8A"/>
    <w:rsid w:val="00996F4F"/>
    <w:rsid w:val="009979BF"/>
    <w:rsid w:val="009A0844"/>
    <w:rsid w:val="009A57C6"/>
    <w:rsid w:val="009A57E0"/>
    <w:rsid w:val="009A5E67"/>
    <w:rsid w:val="009A68A7"/>
    <w:rsid w:val="009A6C12"/>
    <w:rsid w:val="009A7CF6"/>
    <w:rsid w:val="009B1049"/>
    <w:rsid w:val="009B14DE"/>
    <w:rsid w:val="009B1ADA"/>
    <w:rsid w:val="009B56F2"/>
    <w:rsid w:val="009B5BDF"/>
    <w:rsid w:val="009B6C35"/>
    <w:rsid w:val="009B7EDD"/>
    <w:rsid w:val="009C15A8"/>
    <w:rsid w:val="009C16AB"/>
    <w:rsid w:val="009C1B80"/>
    <w:rsid w:val="009C248C"/>
    <w:rsid w:val="009C5898"/>
    <w:rsid w:val="009C5928"/>
    <w:rsid w:val="009C6C5D"/>
    <w:rsid w:val="009C6E7F"/>
    <w:rsid w:val="009D0043"/>
    <w:rsid w:val="009D0199"/>
    <w:rsid w:val="009D0281"/>
    <w:rsid w:val="009D06C8"/>
    <w:rsid w:val="009D193E"/>
    <w:rsid w:val="009D3A91"/>
    <w:rsid w:val="009D4A1D"/>
    <w:rsid w:val="009D6140"/>
    <w:rsid w:val="009D6DA1"/>
    <w:rsid w:val="009D7532"/>
    <w:rsid w:val="009D7C66"/>
    <w:rsid w:val="009D7CD1"/>
    <w:rsid w:val="009E04D2"/>
    <w:rsid w:val="009E19E8"/>
    <w:rsid w:val="009E2071"/>
    <w:rsid w:val="009E2320"/>
    <w:rsid w:val="009E258A"/>
    <w:rsid w:val="009E29B6"/>
    <w:rsid w:val="009E2D33"/>
    <w:rsid w:val="009E3EAF"/>
    <w:rsid w:val="009E3F87"/>
    <w:rsid w:val="009E5FBA"/>
    <w:rsid w:val="009E66AE"/>
    <w:rsid w:val="009E6B2C"/>
    <w:rsid w:val="009E6BC2"/>
    <w:rsid w:val="009E6F00"/>
    <w:rsid w:val="009E73C0"/>
    <w:rsid w:val="009E75FE"/>
    <w:rsid w:val="009E78D5"/>
    <w:rsid w:val="009F0F74"/>
    <w:rsid w:val="009F0FD3"/>
    <w:rsid w:val="009F17EB"/>
    <w:rsid w:val="009F4F78"/>
    <w:rsid w:val="009F61B7"/>
    <w:rsid w:val="009F64D6"/>
    <w:rsid w:val="00A00CBE"/>
    <w:rsid w:val="00A00DAA"/>
    <w:rsid w:val="00A01149"/>
    <w:rsid w:val="00A0126A"/>
    <w:rsid w:val="00A01764"/>
    <w:rsid w:val="00A02312"/>
    <w:rsid w:val="00A02AB1"/>
    <w:rsid w:val="00A032CD"/>
    <w:rsid w:val="00A0383F"/>
    <w:rsid w:val="00A0474C"/>
    <w:rsid w:val="00A04C15"/>
    <w:rsid w:val="00A04D27"/>
    <w:rsid w:val="00A05428"/>
    <w:rsid w:val="00A059A6"/>
    <w:rsid w:val="00A0670C"/>
    <w:rsid w:val="00A07655"/>
    <w:rsid w:val="00A07AC7"/>
    <w:rsid w:val="00A14EAD"/>
    <w:rsid w:val="00A14ED7"/>
    <w:rsid w:val="00A168D0"/>
    <w:rsid w:val="00A20F42"/>
    <w:rsid w:val="00A20F54"/>
    <w:rsid w:val="00A21199"/>
    <w:rsid w:val="00A23D97"/>
    <w:rsid w:val="00A25457"/>
    <w:rsid w:val="00A25485"/>
    <w:rsid w:val="00A25C32"/>
    <w:rsid w:val="00A27140"/>
    <w:rsid w:val="00A302B5"/>
    <w:rsid w:val="00A309DC"/>
    <w:rsid w:val="00A30D70"/>
    <w:rsid w:val="00A31307"/>
    <w:rsid w:val="00A3211C"/>
    <w:rsid w:val="00A32881"/>
    <w:rsid w:val="00A35A7D"/>
    <w:rsid w:val="00A35B42"/>
    <w:rsid w:val="00A35F2A"/>
    <w:rsid w:val="00A40754"/>
    <w:rsid w:val="00A40D26"/>
    <w:rsid w:val="00A41160"/>
    <w:rsid w:val="00A411F8"/>
    <w:rsid w:val="00A42260"/>
    <w:rsid w:val="00A429BD"/>
    <w:rsid w:val="00A43855"/>
    <w:rsid w:val="00A4417D"/>
    <w:rsid w:val="00A44E36"/>
    <w:rsid w:val="00A458F9"/>
    <w:rsid w:val="00A45BE4"/>
    <w:rsid w:val="00A46556"/>
    <w:rsid w:val="00A46875"/>
    <w:rsid w:val="00A47E0E"/>
    <w:rsid w:val="00A5169B"/>
    <w:rsid w:val="00A52304"/>
    <w:rsid w:val="00A559A8"/>
    <w:rsid w:val="00A569E2"/>
    <w:rsid w:val="00A57417"/>
    <w:rsid w:val="00A60135"/>
    <w:rsid w:val="00A60388"/>
    <w:rsid w:val="00A6278F"/>
    <w:rsid w:val="00A62A11"/>
    <w:rsid w:val="00A63FFE"/>
    <w:rsid w:val="00A6483B"/>
    <w:rsid w:val="00A64E66"/>
    <w:rsid w:val="00A6559C"/>
    <w:rsid w:val="00A656B3"/>
    <w:rsid w:val="00A658EA"/>
    <w:rsid w:val="00A65AC4"/>
    <w:rsid w:val="00A67298"/>
    <w:rsid w:val="00A7096D"/>
    <w:rsid w:val="00A71012"/>
    <w:rsid w:val="00A71B9C"/>
    <w:rsid w:val="00A7233C"/>
    <w:rsid w:val="00A72E48"/>
    <w:rsid w:val="00A732C5"/>
    <w:rsid w:val="00A73A2A"/>
    <w:rsid w:val="00A73F7A"/>
    <w:rsid w:val="00A741BE"/>
    <w:rsid w:val="00A74B0C"/>
    <w:rsid w:val="00A74F72"/>
    <w:rsid w:val="00A75248"/>
    <w:rsid w:val="00A7544D"/>
    <w:rsid w:val="00A7579F"/>
    <w:rsid w:val="00A75840"/>
    <w:rsid w:val="00A7666B"/>
    <w:rsid w:val="00A766F7"/>
    <w:rsid w:val="00A768E5"/>
    <w:rsid w:val="00A80DD8"/>
    <w:rsid w:val="00A8173B"/>
    <w:rsid w:val="00A81830"/>
    <w:rsid w:val="00A82AE1"/>
    <w:rsid w:val="00A835B4"/>
    <w:rsid w:val="00A83898"/>
    <w:rsid w:val="00A84ADA"/>
    <w:rsid w:val="00A84D2D"/>
    <w:rsid w:val="00A86300"/>
    <w:rsid w:val="00A86364"/>
    <w:rsid w:val="00A86460"/>
    <w:rsid w:val="00A86CBA"/>
    <w:rsid w:val="00A87C6D"/>
    <w:rsid w:val="00A87E04"/>
    <w:rsid w:val="00A904E9"/>
    <w:rsid w:val="00A910CA"/>
    <w:rsid w:val="00A91C5C"/>
    <w:rsid w:val="00A92560"/>
    <w:rsid w:val="00A92E8A"/>
    <w:rsid w:val="00A92F75"/>
    <w:rsid w:val="00A9316E"/>
    <w:rsid w:val="00A931CD"/>
    <w:rsid w:val="00A93742"/>
    <w:rsid w:val="00A94CC0"/>
    <w:rsid w:val="00A97C2A"/>
    <w:rsid w:val="00A97FC3"/>
    <w:rsid w:val="00AA0A70"/>
    <w:rsid w:val="00AA0C26"/>
    <w:rsid w:val="00AA1089"/>
    <w:rsid w:val="00AA1379"/>
    <w:rsid w:val="00AA1E27"/>
    <w:rsid w:val="00AA1F84"/>
    <w:rsid w:val="00AA223C"/>
    <w:rsid w:val="00AA25D3"/>
    <w:rsid w:val="00AA2F88"/>
    <w:rsid w:val="00AA3BFE"/>
    <w:rsid w:val="00AA66A2"/>
    <w:rsid w:val="00AB02BE"/>
    <w:rsid w:val="00AB0462"/>
    <w:rsid w:val="00AB0C72"/>
    <w:rsid w:val="00AB1E2A"/>
    <w:rsid w:val="00AB22D1"/>
    <w:rsid w:val="00AB36C2"/>
    <w:rsid w:val="00AB4C44"/>
    <w:rsid w:val="00AB4E40"/>
    <w:rsid w:val="00AB4E9C"/>
    <w:rsid w:val="00AB4F57"/>
    <w:rsid w:val="00AB568A"/>
    <w:rsid w:val="00AC01C7"/>
    <w:rsid w:val="00AC09E2"/>
    <w:rsid w:val="00AC17F9"/>
    <w:rsid w:val="00AC1ADB"/>
    <w:rsid w:val="00AC239F"/>
    <w:rsid w:val="00AC2724"/>
    <w:rsid w:val="00AC2855"/>
    <w:rsid w:val="00AC3263"/>
    <w:rsid w:val="00AC37AF"/>
    <w:rsid w:val="00AC3DCF"/>
    <w:rsid w:val="00AC3FB2"/>
    <w:rsid w:val="00AC463C"/>
    <w:rsid w:val="00AC4E47"/>
    <w:rsid w:val="00AC51E1"/>
    <w:rsid w:val="00AC57C8"/>
    <w:rsid w:val="00AD0A88"/>
    <w:rsid w:val="00AD1593"/>
    <w:rsid w:val="00AD20DD"/>
    <w:rsid w:val="00AD2968"/>
    <w:rsid w:val="00AD2B19"/>
    <w:rsid w:val="00AD3081"/>
    <w:rsid w:val="00AD3342"/>
    <w:rsid w:val="00AD4EDF"/>
    <w:rsid w:val="00AD5E39"/>
    <w:rsid w:val="00AD5EB1"/>
    <w:rsid w:val="00AD6043"/>
    <w:rsid w:val="00AD65A8"/>
    <w:rsid w:val="00AD726D"/>
    <w:rsid w:val="00AD7711"/>
    <w:rsid w:val="00AD7EAA"/>
    <w:rsid w:val="00AD7F79"/>
    <w:rsid w:val="00AE05A7"/>
    <w:rsid w:val="00AE0A50"/>
    <w:rsid w:val="00AE17A6"/>
    <w:rsid w:val="00AE2004"/>
    <w:rsid w:val="00AE2643"/>
    <w:rsid w:val="00AE3171"/>
    <w:rsid w:val="00AE38BC"/>
    <w:rsid w:val="00AE45DF"/>
    <w:rsid w:val="00AE5E63"/>
    <w:rsid w:val="00AE65AA"/>
    <w:rsid w:val="00AE67BB"/>
    <w:rsid w:val="00AE7EF6"/>
    <w:rsid w:val="00AF0B32"/>
    <w:rsid w:val="00AF190C"/>
    <w:rsid w:val="00AF1DCC"/>
    <w:rsid w:val="00AF219C"/>
    <w:rsid w:val="00AF261A"/>
    <w:rsid w:val="00AF280E"/>
    <w:rsid w:val="00AF29E7"/>
    <w:rsid w:val="00AF338D"/>
    <w:rsid w:val="00AF3B37"/>
    <w:rsid w:val="00AF3C2A"/>
    <w:rsid w:val="00AF4538"/>
    <w:rsid w:val="00AF56C8"/>
    <w:rsid w:val="00AF5E88"/>
    <w:rsid w:val="00AF7A58"/>
    <w:rsid w:val="00AF7DF0"/>
    <w:rsid w:val="00B005CD"/>
    <w:rsid w:val="00B009B9"/>
    <w:rsid w:val="00B03107"/>
    <w:rsid w:val="00B0346D"/>
    <w:rsid w:val="00B03721"/>
    <w:rsid w:val="00B05454"/>
    <w:rsid w:val="00B05890"/>
    <w:rsid w:val="00B063E4"/>
    <w:rsid w:val="00B06A81"/>
    <w:rsid w:val="00B0709A"/>
    <w:rsid w:val="00B10A4A"/>
    <w:rsid w:val="00B12853"/>
    <w:rsid w:val="00B13BA8"/>
    <w:rsid w:val="00B14279"/>
    <w:rsid w:val="00B14720"/>
    <w:rsid w:val="00B14740"/>
    <w:rsid w:val="00B14D27"/>
    <w:rsid w:val="00B16D88"/>
    <w:rsid w:val="00B16F26"/>
    <w:rsid w:val="00B16F7C"/>
    <w:rsid w:val="00B178A1"/>
    <w:rsid w:val="00B17D06"/>
    <w:rsid w:val="00B204C3"/>
    <w:rsid w:val="00B2109B"/>
    <w:rsid w:val="00B22368"/>
    <w:rsid w:val="00B22AB1"/>
    <w:rsid w:val="00B23640"/>
    <w:rsid w:val="00B255D0"/>
    <w:rsid w:val="00B264A3"/>
    <w:rsid w:val="00B266D3"/>
    <w:rsid w:val="00B26E0C"/>
    <w:rsid w:val="00B27B5C"/>
    <w:rsid w:val="00B309DE"/>
    <w:rsid w:val="00B30D17"/>
    <w:rsid w:val="00B3132D"/>
    <w:rsid w:val="00B32447"/>
    <w:rsid w:val="00B334A6"/>
    <w:rsid w:val="00B346CF"/>
    <w:rsid w:val="00B36E9D"/>
    <w:rsid w:val="00B373BE"/>
    <w:rsid w:val="00B40603"/>
    <w:rsid w:val="00B4083C"/>
    <w:rsid w:val="00B41223"/>
    <w:rsid w:val="00B422B8"/>
    <w:rsid w:val="00B42EBE"/>
    <w:rsid w:val="00B44FA8"/>
    <w:rsid w:val="00B46729"/>
    <w:rsid w:val="00B521C1"/>
    <w:rsid w:val="00B52CE3"/>
    <w:rsid w:val="00B547AB"/>
    <w:rsid w:val="00B54E05"/>
    <w:rsid w:val="00B554E3"/>
    <w:rsid w:val="00B55C9D"/>
    <w:rsid w:val="00B57C2E"/>
    <w:rsid w:val="00B57E5D"/>
    <w:rsid w:val="00B62CB3"/>
    <w:rsid w:val="00B63ECF"/>
    <w:rsid w:val="00B6447F"/>
    <w:rsid w:val="00B64910"/>
    <w:rsid w:val="00B65415"/>
    <w:rsid w:val="00B654B2"/>
    <w:rsid w:val="00B67171"/>
    <w:rsid w:val="00B67CC4"/>
    <w:rsid w:val="00B713F1"/>
    <w:rsid w:val="00B71AF1"/>
    <w:rsid w:val="00B72742"/>
    <w:rsid w:val="00B729EB"/>
    <w:rsid w:val="00B737A4"/>
    <w:rsid w:val="00B73A69"/>
    <w:rsid w:val="00B73C5A"/>
    <w:rsid w:val="00B77303"/>
    <w:rsid w:val="00B81C5A"/>
    <w:rsid w:val="00B82B2A"/>
    <w:rsid w:val="00B8353B"/>
    <w:rsid w:val="00B83886"/>
    <w:rsid w:val="00B84C9B"/>
    <w:rsid w:val="00B856FF"/>
    <w:rsid w:val="00B86C1E"/>
    <w:rsid w:val="00B87FD7"/>
    <w:rsid w:val="00B90A64"/>
    <w:rsid w:val="00B90F93"/>
    <w:rsid w:val="00B924ED"/>
    <w:rsid w:val="00B93D52"/>
    <w:rsid w:val="00B94F34"/>
    <w:rsid w:val="00B9634D"/>
    <w:rsid w:val="00B96BC3"/>
    <w:rsid w:val="00BA0199"/>
    <w:rsid w:val="00BA07B8"/>
    <w:rsid w:val="00BA1370"/>
    <w:rsid w:val="00BA138E"/>
    <w:rsid w:val="00BA1595"/>
    <w:rsid w:val="00BA1749"/>
    <w:rsid w:val="00BA32AE"/>
    <w:rsid w:val="00BA3771"/>
    <w:rsid w:val="00BA3F07"/>
    <w:rsid w:val="00BA434D"/>
    <w:rsid w:val="00BB0591"/>
    <w:rsid w:val="00BB0618"/>
    <w:rsid w:val="00BB10FF"/>
    <w:rsid w:val="00BB11E3"/>
    <w:rsid w:val="00BB20B0"/>
    <w:rsid w:val="00BB295C"/>
    <w:rsid w:val="00BB3272"/>
    <w:rsid w:val="00BB38BD"/>
    <w:rsid w:val="00BB393D"/>
    <w:rsid w:val="00BB48B2"/>
    <w:rsid w:val="00BB62D5"/>
    <w:rsid w:val="00BB6AA6"/>
    <w:rsid w:val="00BB78D9"/>
    <w:rsid w:val="00BC0700"/>
    <w:rsid w:val="00BC1445"/>
    <w:rsid w:val="00BC1D07"/>
    <w:rsid w:val="00BC36F0"/>
    <w:rsid w:val="00BC3771"/>
    <w:rsid w:val="00BC3CD2"/>
    <w:rsid w:val="00BC4AB3"/>
    <w:rsid w:val="00BC541C"/>
    <w:rsid w:val="00BC5477"/>
    <w:rsid w:val="00BC5A5C"/>
    <w:rsid w:val="00BC6958"/>
    <w:rsid w:val="00BC7868"/>
    <w:rsid w:val="00BD0A9E"/>
    <w:rsid w:val="00BD1D42"/>
    <w:rsid w:val="00BD1D82"/>
    <w:rsid w:val="00BD3FDF"/>
    <w:rsid w:val="00BD4619"/>
    <w:rsid w:val="00BD4C0E"/>
    <w:rsid w:val="00BD5445"/>
    <w:rsid w:val="00BD58E8"/>
    <w:rsid w:val="00BD6AEB"/>
    <w:rsid w:val="00BD6F0B"/>
    <w:rsid w:val="00BD729A"/>
    <w:rsid w:val="00BD736D"/>
    <w:rsid w:val="00BD7875"/>
    <w:rsid w:val="00BE01EF"/>
    <w:rsid w:val="00BE2AEF"/>
    <w:rsid w:val="00BE2C2C"/>
    <w:rsid w:val="00BE3675"/>
    <w:rsid w:val="00BE3EF3"/>
    <w:rsid w:val="00BE428D"/>
    <w:rsid w:val="00BE477E"/>
    <w:rsid w:val="00BF0232"/>
    <w:rsid w:val="00BF099B"/>
    <w:rsid w:val="00BF0C86"/>
    <w:rsid w:val="00BF15C3"/>
    <w:rsid w:val="00BF1F9F"/>
    <w:rsid w:val="00BF363E"/>
    <w:rsid w:val="00BF48AF"/>
    <w:rsid w:val="00BF53FC"/>
    <w:rsid w:val="00BF5F84"/>
    <w:rsid w:val="00BF6DF8"/>
    <w:rsid w:val="00C018C6"/>
    <w:rsid w:val="00C0388D"/>
    <w:rsid w:val="00C044F4"/>
    <w:rsid w:val="00C0595C"/>
    <w:rsid w:val="00C072CA"/>
    <w:rsid w:val="00C1079D"/>
    <w:rsid w:val="00C13AFA"/>
    <w:rsid w:val="00C164B0"/>
    <w:rsid w:val="00C17448"/>
    <w:rsid w:val="00C17602"/>
    <w:rsid w:val="00C178E7"/>
    <w:rsid w:val="00C21139"/>
    <w:rsid w:val="00C214B6"/>
    <w:rsid w:val="00C22B79"/>
    <w:rsid w:val="00C23087"/>
    <w:rsid w:val="00C24550"/>
    <w:rsid w:val="00C26D78"/>
    <w:rsid w:val="00C2723A"/>
    <w:rsid w:val="00C304A8"/>
    <w:rsid w:val="00C30BD9"/>
    <w:rsid w:val="00C316E6"/>
    <w:rsid w:val="00C32DD5"/>
    <w:rsid w:val="00C339B1"/>
    <w:rsid w:val="00C33B01"/>
    <w:rsid w:val="00C33D67"/>
    <w:rsid w:val="00C33EFB"/>
    <w:rsid w:val="00C359ED"/>
    <w:rsid w:val="00C36326"/>
    <w:rsid w:val="00C37677"/>
    <w:rsid w:val="00C37DAD"/>
    <w:rsid w:val="00C40C51"/>
    <w:rsid w:val="00C43261"/>
    <w:rsid w:val="00C43A93"/>
    <w:rsid w:val="00C4483E"/>
    <w:rsid w:val="00C46AC1"/>
    <w:rsid w:val="00C4770B"/>
    <w:rsid w:val="00C51C06"/>
    <w:rsid w:val="00C51DAE"/>
    <w:rsid w:val="00C51FCE"/>
    <w:rsid w:val="00C5336D"/>
    <w:rsid w:val="00C53870"/>
    <w:rsid w:val="00C53FEA"/>
    <w:rsid w:val="00C551AD"/>
    <w:rsid w:val="00C5555D"/>
    <w:rsid w:val="00C600D8"/>
    <w:rsid w:val="00C602B5"/>
    <w:rsid w:val="00C6088D"/>
    <w:rsid w:val="00C60A11"/>
    <w:rsid w:val="00C62E39"/>
    <w:rsid w:val="00C63A59"/>
    <w:rsid w:val="00C65E8F"/>
    <w:rsid w:val="00C675A3"/>
    <w:rsid w:val="00C6790F"/>
    <w:rsid w:val="00C67AEC"/>
    <w:rsid w:val="00C67B82"/>
    <w:rsid w:val="00C67DED"/>
    <w:rsid w:val="00C714A7"/>
    <w:rsid w:val="00C72494"/>
    <w:rsid w:val="00C726BB"/>
    <w:rsid w:val="00C72ECF"/>
    <w:rsid w:val="00C74555"/>
    <w:rsid w:val="00C75264"/>
    <w:rsid w:val="00C75A5D"/>
    <w:rsid w:val="00C76858"/>
    <w:rsid w:val="00C76C88"/>
    <w:rsid w:val="00C77208"/>
    <w:rsid w:val="00C77506"/>
    <w:rsid w:val="00C775A5"/>
    <w:rsid w:val="00C77AD2"/>
    <w:rsid w:val="00C805A4"/>
    <w:rsid w:val="00C81C7D"/>
    <w:rsid w:val="00C8220E"/>
    <w:rsid w:val="00C846F0"/>
    <w:rsid w:val="00C8481C"/>
    <w:rsid w:val="00C855C4"/>
    <w:rsid w:val="00C8613B"/>
    <w:rsid w:val="00C869F7"/>
    <w:rsid w:val="00C87ED6"/>
    <w:rsid w:val="00C900C9"/>
    <w:rsid w:val="00C90980"/>
    <w:rsid w:val="00C91209"/>
    <w:rsid w:val="00C918B3"/>
    <w:rsid w:val="00C931FA"/>
    <w:rsid w:val="00C93A2B"/>
    <w:rsid w:val="00C959A0"/>
    <w:rsid w:val="00C96440"/>
    <w:rsid w:val="00C97DD4"/>
    <w:rsid w:val="00CA02A7"/>
    <w:rsid w:val="00CA08EE"/>
    <w:rsid w:val="00CA0B5C"/>
    <w:rsid w:val="00CA0F42"/>
    <w:rsid w:val="00CA1C0C"/>
    <w:rsid w:val="00CA1C6A"/>
    <w:rsid w:val="00CA207B"/>
    <w:rsid w:val="00CA29D0"/>
    <w:rsid w:val="00CA311B"/>
    <w:rsid w:val="00CA3B86"/>
    <w:rsid w:val="00CA410C"/>
    <w:rsid w:val="00CA4213"/>
    <w:rsid w:val="00CA6911"/>
    <w:rsid w:val="00CA6A62"/>
    <w:rsid w:val="00CB06EF"/>
    <w:rsid w:val="00CB06F3"/>
    <w:rsid w:val="00CB28A3"/>
    <w:rsid w:val="00CB2B96"/>
    <w:rsid w:val="00CB7094"/>
    <w:rsid w:val="00CB741F"/>
    <w:rsid w:val="00CB7520"/>
    <w:rsid w:val="00CB7F2A"/>
    <w:rsid w:val="00CC0F72"/>
    <w:rsid w:val="00CC1C3E"/>
    <w:rsid w:val="00CC252A"/>
    <w:rsid w:val="00CC380A"/>
    <w:rsid w:val="00CC440E"/>
    <w:rsid w:val="00CC4ED2"/>
    <w:rsid w:val="00CC5788"/>
    <w:rsid w:val="00CC5928"/>
    <w:rsid w:val="00CC5EC5"/>
    <w:rsid w:val="00CD06AA"/>
    <w:rsid w:val="00CD0D1A"/>
    <w:rsid w:val="00CD1048"/>
    <w:rsid w:val="00CD1080"/>
    <w:rsid w:val="00CD10A1"/>
    <w:rsid w:val="00CD175D"/>
    <w:rsid w:val="00CD23C7"/>
    <w:rsid w:val="00CD2A51"/>
    <w:rsid w:val="00CD3566"/>
    <w:rsid w:val="00CD38CB"/>
    <w:rsid w:val="00CD3C65"/>
    <w:rsid w:val="00CD5E24"/>
    <w:rsid w:val="00CD6A98"/>
    <w:rsid w:val="00CD7D8A"/>
    <w:rsid w:val="00CE01E0"/>
    <w:rsid w:val="00CE1185"/>
    <w:rsid w:val="00CE270D"/>
    <w:rsid w:val="00CE4C27"/>
    <w:rsid w:val="00CE6D80"/>
    <w:rsid w:val="00CF0E10"/>
    <w:rsid w:val="00CF100D"/>
    <w:rsid w:val="00CF1C99"/>
    <w:rsid w:val="00CF1D42"/>
    <w:rsid w:val="00CF4B4D"/>
    <w:rsid w:val="00CF6075"/>
    <w:rsid w:val="00CF625C"/>
    <w:rsid w:val="00CF6C68"/>
    <w:rsid w:val="00CF7312"/>
    <w:rsid w:val="00D01348"/>
    <w:rsid w:val="00D01C64"/>
    <w:rsid w:val="00D028A2"/>
    <w:rsid w:val="00D05D44"/>
    <w:rsid w:val="00D06B2C"/>
    <w:rsid w:val="00D07C8E"/>
    <w:rsid w:val="00D10234"/>
    <w:rsid w:val="00D107C3"/>
    <w:rsid w:val="00D132D0"/>
    <w:rsid w:val="00D13817"/>
    <w:rsid w:val="00D14352"/>
    <w:rsid w:val="00D16A3F"/>
    <w:rsid w:val="00D17677"/>
    <w:rsid w:val="00D17956"/>
    <w:rsid w:val="00D200C5"/>
    <w:rsid w:val="00D20F3E"/>
    <w:rsid w:val="00D22497"/>
    <w:rsid w:val="00D23551"/>
    <w:rsid w:val="00D23AE2"/>
    <w:rsid w:val="00D23D37"/>
    <w:rsid w:val="00D248F8"/>
    <w:rsid w:val="00D278C0"/>
    <w:rsid w:val="00D302EC"/>
    <w:rsid w:val="00D30FA3"/>
    <w:rsid w:val="00D3120C"/>
    <w:rsid w:val="00D317A9"/>
    <w:rsid w:val="00D3229B"/>
    <w:rsid w:val="00D33EE4"/>
    <w:rsid w:val="00D34A7B"/>
    <w:rsid w:val="00D353CB"/>
    <w:rsid w:val="00D35C0F"/>
    <w:rsid w:val="00D4008F"/>
    <w:rsid w:val="00D401F5"/>
    <w:rsid w:val="00D4049D"/>
    <w:rsid w:val="00D41C9E"/>
    <w:rsid w:val="00D41F39"/>
    <w:rsid w:val="00D41F9A"/>
    <w:rsid w:val="00D428B3"/>
    <w:rsid w:val="00D43E78"/>
    <w:rsid w:val="00D447F5"/>
    <w:rsid w:val="00D459D7"/>
    <w:rsid w:val="00D47693"/>
    <w:rsid w:val="00D47F76"/>
    <w:rsid w:val="00D516CF"/>
    <w:rsid w:val="00D52C88"/>
    <w:rsid w:val="00D52DED"/>
    <w:rsid w:val="00D52EFE"/>
    <w:rsid w:val="00D5524A"/>
    <w:rsid w:val="00D558B6"/>
    <w:rsid w:val="00D57172"/>
    <w:rsid w:val="00D57719"/>
    <w:rsid w:val="00D57ADD"/>
    <w:rsid w:val="00D57F3F"/>
    <w:rsid w:val="00D60FE8"/>
    <w:rsid w:val="00D611BE"/>
    <w:rsid w:val="00D61673"/>
    <w:rsid w:val="00D61DEB"/>
    <w:rsid w:val="00D62036"/>
    <w:rsid w:val="00D634EC"/>
    <w:rsid w:val="00D63778"/>
    <w:rsid w:val="00D63AF0"/>
    <w:rsid w:val="00D63EFB"/>
    <w:rsid w:val="00D648EB"/>
    <w:rsid w:val="00D64A9E"/>
    <w:rsid w:val="00D65136"/>
    <w:rsid w:val="00D65C90"/>
    <w:rsid w:val="00D66159"/>
    <w:rsid w:val="00D666CB"/>
    <w:rsid w:val="00D66E62"/>
    <w:rsid w:val="00D7016E"/>
    <w:rsid w:val="00D71FA7"/>
    <w:rsid w:val="00D720E1"/>
    <w:rsid w:val="00D72995"/>
    <w:rsid w:val="00D730B4"/>
    <w:rsid w:val="00D73771"/>
    <w:rsid w:val="00D76D7B"/>
    <w:rsid w:val="00D81093"/>
    <w:rsid w:val="00D81E84"/>
    <w:rsid w:val="00D83F60"/>
    <w:rsid w:val="00D8486B"/>
    <w:rsid w:val="00D8495B"/>
    <w:rsid w:val="00D84A91"/>
    <w:rsid w:val="00D84E04"/>
    <w:rsid w:val="00D87118"/>
    <w:rsid w:val="00D87893"/>
    <w:rsid w:val="00D942B8"/>
    <w:rsid w:val="00D94308"/>
    <w:rsid w:val="00D94912"/>
    <w:rsid w:val="00D94B47"/>
    <w:rsid w:val="00D95536"/>
    <w:rsid w:val="00D958DE"/>
    <w:rsid w:val="00D95BA2"/>
    <w:rsid w:val="00D97CFB"/>
    <w:rsid w:val="00D97D2B"/>
    <w:rsid w:val="00D97F56"/>
    <w:rsid w:val="00DA0EF8"/>
    <w:rsid w:val="00DA16F5"/>
    <w:rsid w:val="00DA183F"/>
    <w:rsid w:val="00DA24E1"/>
    <w:rsid w:val="00DA2AF2"/>
    <w:rsid w:val="00DA3D56"/>
    <w:rsid w:val="00DA4D09"/>
    <w:rsid w:val="00DA4D90"/>
    <w:rsid w:val="00DA5EB7"/>
    <w:rsid w:val="00DA73FE"/>
    <w:rsid w:val="00DB0620"/>
    <w:rsid w:val="00DB07EA"/>
    <w:rsid w:val="00DB3442"/>
    <w:rsid w:val="00DB3E92"/>
    <w:rsid w:val="00DB464C"/>
    <w:rsid w:val="00DB4D01"/>
    <w:rsid w:val="00DB5B79"/>
    <w:rsid w:val="00DB6E0A"/>
    <w:rsid w:val="00DB6F02"/>
    <w:rsid w:val="00DC15DA"/>
    <w:rsid w:val="00DC1CDA"/>
    <w:rsid w:val="00DC37D2"/>
    <w:rsid w:val="00DC46DD"/>
    <w:rsid w:val="00DC4885"/>
    <w:rsid w:val="00DC52B8"/>
    <w:rsid w:val="00DC6EC2"/>
    <w:rsid w:val="00DC79F4"/>
    <w:rsid w:val="00DC7EAB"/>
    <w:rsid w:val="00DD046B"/>
    <w:rsid w:val="00DD094A"/>
    <w:rsid w:val="00DD11E2"/>
    <w:rsid w:val="00DD129A"/>
    <w:rsid w:val="00DD2DA3"/>
    <w:rsid w:val="00DD3C83"/>
    <w:rsid w:val="00DD4A7E"/>
    <w:rsid w:val="00DD53D3"/>
    <w:rsid w:val="00DD5E8E"/>
    <w:rsid w:val="00DD5F4F"/>
    <w:rsid w:val="00DD6C69"/>
    <w:rsid w:val="00DD6F1B"/>
    <w:rsid w:val="00DD7573"/>
    <w:rsid w:val="00DD763B"/>
    <w:rsid w:val="00DE0D06"/>
    <w:rsid w:val="00DE1565"/>
    <w:rsid w:val="00DE346A"/>
    <w:rsid w:val="00DE3DAA"/>
    <w:rsid w:val="00DE4499"/>
    <w:rsid w:val="00DE4E46"/>
    <w:rsid w:val="00DE5119"/>
    <w:rsid w:val="00DE618E"/>
    <w:rsid w:val="00DE6730"/>
    <w:rsid w:val="00DE698A"/>
    <w:rsid w:val="00DE7C31"/>
    <w:rsid w:val="00DF0363"/>
    <w:rsid w:val="00DF071C"/>
    <w:rsid w:val="00DF26F9"/>
    <w:rsid w:val="00DF276B"/>
    <w:rsid w:val="00DF2887"/>
    <w:rsid w:val="00DF3656"/>
    <w:rsid w:val="00DF5FDF"/>
    <w:rsid w:val="00DF714B"/>
    <w:rsid w:val="00E0046A"/>
    <w:rsid w:val="00E00B6C"/>
    <w:rsid w:val="00E0104C"/>
    <w:rsid w:val="00E03313"/>
    <w:rsid w:val="00E04185"/>
    <w:rsid w:val="00E04637"/>
    <w:rsid w:val="00E04B5A"/>
    <w:rsid w:val="00E06955"/>
    <w:rsid w:val="00E06C57"/>
    <w:rsid w:val="00E10B56"/>
    <w:rsid w:val="00E119EE"/>
    <w:rsid w:val="00E1264A"/>
    <w:rsid w:val="00E134BE"/>
    <w:rsid w:val="00E13657"/>
    <w:rsid w:val="00E138AF"/>
    <w:rsid w:val="00E14731"/>
    <w:rsid w:val="00E16091"/>
    <w:rsid w:val="00E16F4E"/>
    <w:rsid w:val="00E1726A"/>
    <w:rsid w:val="00E17585"/>
    <w:rsid w:val="00E17BF2"/>
    <w:rsid w:val="00E20302"/>
    <w:rsid w:val="00E20567"/>
    <w:rsid w:val="00E20BE2"/>
    <w:rsid w:val="00E20DDD"/>
    <w:rsid w:val="00E213FA"/>
    <w:rsid w:val="00E2252E"/>
    <w:rsid w:val="00E237C4"/>
    <w:rsid w:val="00E241B1"/>
    <w:rsid w:val="00E266D4"/>
    <w:rsid w:val="00E339B0"/>
    <w:rsid w:val="00E3419D"/>
    <w:rsid w:val="00E34847"/>
    <w:rsid w:val="00E351F6"/>
    <w:rsid w:val="00E358CD"/>
    <w:rsid w:val="00E360C4"/>
    <w:rsid w:val="00E362F0"/>
    <w:rsid w:val="00E36982"/>
    <w:rsid w:val="00E373C5"/>
    <w:rsid w:val="00E41EC7"/>
    <w:rsid w:val="00E4241F"/>
    <w:rsid w:val="00E43B9F"/>
    <w:rsid w:val="00E446F4"/>
    <w:rsid w:val="00E44744"/>
    <w:rsid w:val="00E4548B"/>
    <w:rsid w:val="00E4766B"/>
    <w:rsid w:val="00E47A43"/>
    <w:rsid w:val="00E50202"/>
    <w:rsid w:val="00E513A1"/>
    <w:rsid w:val="00E5260E"/>
    <w:rsid w:val="00E53624"/>
    <w:rsid w:val="00E53BD3"/>
    <w:rsid w:val="00E56E65"/>
    <w:rsid w:val="00E60B1F"/>
    <w:rsid w:val="00E61429"/>
    <w:rsid w:val="00E635D1"/>
    <w:rsid w:val="00E63A87"/>
    <w:rsid w:val="00E63A93"/>
    <w:rsid w:val="00E64755"/>
    <w:rsid w:val="00E64EC3"/>
    <w:rsid w:val="00E65C52"/>
    <w:rsid w:val="00E67708"/>
    <w:rsid w:val="00E737BB"/>
    <w:rsid w:val="00E745D7"/>
    <w:rsid w:val="00E748C7"/>
    <w:rsid w:val="00E749C7"/>
    <w:rsid w:val="00E7632A"/>
    <w:rsid w:val="00E76FF9"/>
    <w:rsid w:val="00E77E21"/>
    <w:rsid w:val="00E801C3"/>
    <w:rsid w:val="00E80B71"/>
    <w:rsid w:val="00E822DC"/>
    <w:rsid w:val="00E82475"/>
    <w:rsid w:val="00E82B72"/>
    <w:rsid w:val="00E832B7"/>
    <w:rsid w:val="00E83E64"/>
    <w:rsid w:val="00E84865"/>
    <w:rsid w:val="00E84CD0"/>
    <w:rsid w:val="00E85002"/>
    <w:rsid w:val="00E85358"/>
    <w:rsid w:val="00E902B1"/>
    <w:rsid w:val="00E913E4"/>
    <w:rsid w:val="00E92DC5"/>
    <w:rsid w:val="00E92E97"/>
    <w:rsid w:val="00E93295"/>
    <w:rsid w:val="00E93510"/>
    <w:rsid w:val="00E948BD"/>
    <w:rsid w:val="00E951F1"/>
    <w:rsid w:val="00E95C36"/>
    <w:rsid w:val="00E97287"/>
    <w:rsid w:val="00E97F55"/>
    <w:rsid w:val="00EA071F"/>
    <w:rsid w:val="00EA09A4"/>
    <w:rsid w:val="00EA123B"/>
    <w:rsid w:val="00EA1747"/>
    <w:rsid w:val="00EA2485"/>
    <w:rsid w:val="00EA3DE7"/>
    <w:rsid w:val="00EA4552"/>
    <w:rsid w:val="00EA58E2"/>
    <w:rsid w:val="00EA6A33"/>
    <w:rsid w:val="00EA6E3B"/>
    <w:rsid w:val="00EA79CD"/>
    <w:rsid w:val="00EB1B3B"/>
    <w:rsid w:val="00EB232D"/>
    <w:rsid w:val="00EB3A87"/>
    <w:rsid w:val="00EB637B"/>
    <w:rsid w:val="00EB67F3"/>
    <w:rsid w:val="00EC00ED"/>
    <w:rsid w:val="00EC04EB"/>
    <w:rsid w:val="00EC0D00"/>
    <w:rsid w:val="00EC1502"/>
    <w:rsid w:val="00EC150A"/>
    <w:rsid w:val="00EC2DBA"/>
    <w:rsid w:val="00EC30B2"/>
    <w:rsid w:val="00EC3411"/>
    <w:rsid w:val="00EC49CE"/>
    <w:rsid w:val="00EC5905"/>
    <w:rsid w:val="00EC7AAD"/>
    <w:rsid w:val="00ED0333"/>
    <w:rsid w:val="00ED0D81"/>
    <w:rsid w:val="00ED17B2"/>
    <w:rsid w:val="00ED1F37"/>
    <w:rsid w:val="00ED2FAA"/>
    <w:rsid w:val="00ED31B2"/>
    <w:rsid w:val="00ED4780"/>
    <w:rsid w:val="00ED5271"/>
    <w:rsid w:val="00ED61D0"/>
    <w:rsid w:val="00ED6AE3"/>
    <w:rsid w:val="00EE0177"/>
    <w:rsid w:val="00EE027D"/>
    <w:rsid w:val="00EE0712"/>
    <w:rsid w:val="00EE0F34"/>
    <w:rsid w:val="00EE14BE"/>
    <w:rsid w:val="00EE1C97"/>
    <w:rsid w:val="00EE263A"/>
    <w:rsid w:val="00EE3C48"/>
    <w:rsid w:val="00EE61CF"/>
    <w:rsid w:val="00EE6819"/>
    <w:rsid w:val="00EE6C7E"/>
    <w:rsid w:val="00EE75AD"/>
    <w:rsid w:val="00EE7794"/>
    <w:rsid w:val="00EE7CA4"/>
    <w:rsid w:val="00EF0963"/>
    <w:rsid w:val="00EF42B9"/>
    <w:rsid w:val="00EF52CF"/>
    <w:rsid w:val="00EF5D2F"/>
    <w:rsid w:val="00EF6A89"/>
    <w:rsid w:val="00EF758D"/>
    <w:rsid w:val="00EF78B8"/>
    <w:rsid w:val="00F02074"/>
    <w:rsid w:val="00F04190"/>
    <w:rsid w:val="00F04349"/>
    <w:rsid w:val="00F05042"/>
    <w:rsid w:val="00F053FA"/>
    <w:rsid w:val="00F05E51"/>
    <w:rsid w:val="00F05E91"/>
    <w:rsid w:val="00F06FEE"/>
    <w:rsid w:val="00F076A4"/>
    <w:rsid w:val="00F07A3D"/>
    <w:rsid w:val="00F10512"/>
    <w:rsid w:val="00F10567"/>
    <w:rsid w:val="00F108A4"/>
    <w:rsid w:val="00F10CAF"/>
    <w:rsid w:val="00F12479"/>
    <w:rsid w:val="00F144EB"/>
    <w:rsid w:val="00F15179"/>
    <w:rsid w:val="00F17F4B"/>
    <w:rsid w:val="00F2144E"/>
    <w:rsid w:val="00F21FE7"/>
    <w:rsid w:val="00F225CD"/>
    <w:rsid w:val="00F2282B"/>
    <w:rsid w:val="00F23A21"/>
    <w:rsid w:val="00F23CE7"/>
    <w:rsid w:val="00F2583B"/>
    <w:rsid w:val="00F25E7C"/>
    <w:rsid w:val="00F260BC"/>
    <w:rsid w:val="00F26453"/>
    <w:rsid w:val="00F272D7"/>
    <w:rsid w:val="00F2771D"/>
    <w:rsid w:val="00F27BC5"/>
    <w:rsid w:val="00F27D8E"/>
    <w:rsid w:val="00F318FB"/>
    <w:rsid w:val="00F32691"/>
    <w:rsid w:val="00F3275D"/>
    <w:rsid w:val="00F3340E"/>
    <w:rsid w:val="00F33EB4"/>
    <w:rsid w:val="00F344BF"/>
    <w:rsid w:val="00F3518D"/>
    <w:rsid w:val="00F354EE"/>
    <w:rsid w:val="00F36816"/>
    <w:rsid w:val="00F36923"/>
    <w:rsid w:val="00F374C9"/>
    <w:rsid w:val="00F377E9"/>
    <w:rsid w:val="00F401EB"/>
    <w:rsid w:val="00F40603"/>
    <w:rsid w:val="00F40D1E"/>
    <w:rsid w:val="00F42163"/>
    <w:rsid w:val="00F43B11"/>
    <w:rsid w:val="00F4402E"/>
    <w:rsid w:val="00F44963"/>
    <w:rsid w:val="00F44AFE"/>
    <w:rsid w:val="00F44E54"/>
    <w:rsid w:val="00F4504D"/>
    <w:rsid w:val="00F457B3"/>
    <w:rsid w:val="00F45DC4"/>
    <w:rsid w:val="00F47154"/>
    <w:rsid w:val="00F47F6F"/>
    <w:rsid w:val="00F505C8"/>
    <w:rsid w:val="00F51D04"/>
    <w:rsid w:val="00F52124"/>
    <w:rsid w:val="00F5489F"/>
    <w:rsid w:val="00F54914"/>
    <w:rsid w:val="00F55B11"/>
    <w:rsid w:val="00F56375"/>
    <w:rsid w:val="00F5688B"/>
    <w:rsid w:val="00F56D9E"/>
    <w:rsid w:val="00F6068E"/>
    <w:rsid w:val="00F608C6"/>
    <w:rsid w:val="00F6145C"/>
    <w:rsid w:val="00F658F2"/>
    <w:rsid w:val="00F667F9"/>
    <w:rsid w:val="00F66EFF"/>
    <w:rsid w:val="00F6764A"/>
    <w:rsid w:val="00F67D95"/>
    <w:rsid w:val="00F70344"/>
    <w:rsid w:val="00F71057"/>
    <w:rsid w:val="00F72199"/>
    <w:rsid w:val="00F72217"/>
    <w:rsid w:val="00F722A1"/>
    <w:rsid w:val="00F73B9C"/>
    <w:rsid w:val="00F74A72"/>
    <w:rsid w:val="00F755D1"/>
    <w:rsid w:val="00F7570C"/>
    <w:rsid w:val="00F759D0"/>
    <w:rsid w:val="00F77DE8"/>
    <w:rsid w:val="00F80403"/>
    <w:rsid w:val="00F80546"/>
    <w:rsid w:val="00F80722"/>
    <w:rsid w:val="00F83172"/>
    <w:rsid w:val="00F837F4"/>
    <w:rsid w:val="00F83E98"/>
    <w:rsid w:val="00F83EF3"/>
    <w:rsid w:val="00F83FA2"/>
    <w:rsid w:val="00F84D38"/>
    <w:rsid w:val="00F84F25"/>
    <w:rsid w:val="00F866BE"/>
    <w:rsid w:val="00F86F9C"/>
    <w:rsid w:val="00F93010"/>
    <w:rsid w:val="00F931CE"/>
    <w:rsid w:val="00F93200"/>
    <w:rsid w:val="00F93202"/>
    <w:rsid w:val="00F93791"/>
    <w:rsid w:val="00F943A9"/>
    <w:rsid w:val="00F96112"/>
    <w:rsid w:val="00F9714D"/>
    <w:rsid w:val="00F97CED"/>
    <w:rsid w:val="00FA0B9E"/>
    <w:rsid w:val="00FA438D"/>
    <w:rsid w:val="00FA498D"/>
    <w:rsid w:val="00FA4A98"/>
    <w:rsid w:val="00FA596B"/>
    <w:rsid w:val="00FA5E57"/>
    <w:rsid w:val="00FA63CA"/>
    <w:rsid w:val="00FB055B"/>
    <w:rsid w:val="00FB0B8E"/>
    <w:rsid w:val="00FB10A9"/>
    <w:rsid w:val="00FB22F2"/>
    <w:rsid w:val="00FB273F"/>
    <w:rsid w:val="00FB3F93"/>
    <w:rsid w:val="00FB4FE8"/>
    <w:rsid w:val="00FB7D9D"/>
    <w:rsid w:val="00FC025B"/>
    <w:rsid w:val="00FC1482"/>
    <w:rsid w:val="00FC1B45"/>
    <w:rsid w:val="00FC2040"/>
    <w:rsid w:val="00FC3A51"/>
    <w:rsid w:val="00FC4102"/>
    <w:rsid w:val="00FC4B3F"/>
    <w:rsid w:val="00FC4DDA"/>
    <w:rsid w:val="00FC567C"/>
    <w:rsid w:val="00FC6C65"/>
    <w:rsid w:val="00FC718E"/>
    <w:rsid w:val="00FC71BC"/>
    <w:rsid w:val="00FC7486"/>
    <w:rsid w:val="00FD097C"/>
    <w:rsid w:val="00FD1F6C"/>
    <w:rsid w:val="00FD6BCB"/>
    <w:rsid w:val="00FD6F24"/>
    <w:rsid w:val="00FE0487"/>
    <w:rsid w:val="00FE0BC0"/>
    <w:rsid w:val="00FE296B"/>
    <w:rsid w:val="00FE2CC1"/>
    <w:rsid w:val="00FE55C9"/>
    <w:rsid w:val="00FE7555"/>
    <w:rsid w:val="00FF0514"/>
    <w:rsid w:val="00FF08C5"/>
    <w:rsid w:val="00FF2841"/>
    <w:rsid w:val="00FF44EE"/>
    <w:rsid w:val="00FF49A3"/>
    <w:rsid w:val="00FF6785"/>
    <w:rsid w:val="00FF763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A152EB"/>
  <w15:chartTrackingRefBased/>
  <w15:docId w15:val="{CE1A4ECA-A4C8-49C5-AD9C-3AA7F1417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1593"/>
    <w:pPr>
      <w:ind w:leftChars="400" w:left="800"/>
    </w:pPr>
  </w:style>
  <w:style w:type="paragraph" w:styleId="a4">
    <w:name w:val="header"/>
    <w:basedOn w:val="a"/>
    <w:link w:val="Char"/>
    <w:uiPriority w:val="99"/>
    <w:unhideWhenUsed/>
    <w:rsid w:val="00CB7094"/>
    <w:pPr>
      <w:tabs>
        <w:tab w:val="center" w:pos="4513"/>
        <w:tab w:val="right" w:pos="9026"/>
      </w:tabs>
      <w:snapToGrid w:val="0"/>
    </w:pPr>
  </w:style>
  <w:style w:type="character" w:customStyle="1" w:styleId="Char">
    <w:name w:val="머리글 Char"/>
    <w:basedOn w:val="a0"/>
    <w:link w:val="a4"/>
    <w:uiPriority w:val="99"/>
    <w:rsid w:val="00CB7094"/>
  </w:style>
  <w:style w:type="paragraph" w:styleId="a5">
    <w:name w:val="footer"/>
    <w:basedOn w:val="a"/>
    <w:link w:val="Char0"/>
    <w:uiPriority w:val="99"/>
    <w:unhideWhenUsed/>
    <w:rsid w:val="00CB7094"/>
    <w:pPr>
      <w:tabs>
        <w:tab w:val="center" w:pos="4513"/>
        <w:tab w:val="right" w:pos="9026"/>
      </w:tabs>
      <w:snapToGrid w:val="0"/>
    </w:pPr>
  </w:style>
  <w:style w:type="character" w:customStyle="1" w:styleId="Char0">
    <w:name w:val="바닥글 Char"/>
    <w:basedOn w:val="a0"/>
    <w:link w:val="a5"/>
    <w:uiPriority w:val="99"/>
    <w:rsid w:val="00CB7094"/>
  </w:style>
  <w:style w:type="character" w:styleId="a6">
    <w:name w:val="annotation reference"/>
    <w:basedOn w:val="a0"/>
    <w:uiPriority w:val="99"/>
    <w:semiHidden/>
    <w:unhideWhenUsed/>
    <w:rsid w:val="00091F2D"/>
    <w:rPr>
      <w:sz w:val="18"/>
      <w:szCs w:val="18"/>
    </w:rPr>
  </w:style>
  <w:style w:type="paragraph" w:styleId="a7">
    <w:name w:val="annotation text"/>
    <w:basedOn w:val="a"/>
    <w:link w:val="Char1"/>
    <w:uiPriority w:val="99"/>
    <w:unhideWhenUsed/>
    <w:rsid w:val="00091F2D"/>
    <w:pPr>
      <w:jc w:val="left"/>
    </w:pPr>
  </w:style>
  <w:style w:type="character" w:customStyle="1" w:styleId="Char1">
    <w:name w:val="메모 텍스트 Char"/>
    <w:basedOn w:val="a0"/>
    <w:link w:val="a7"/>
    <w:uiPriority w:val="99"/>
    <w:rsid w:val="00091F2D"/>
  </w:style>
  <w:style w:type="paragraph" w:styleId="a8">
    <w:name w:val="annotation subject"/>
    <w:basedOn w:val="a7"/>
    <w:next w:val="a7"/>
    <w:link w:val="Char2"/>
    <w:uiPriority w:val="99"/>
    <w:semiHidden/>
    <w:unhideWhenUsed/>
    <w:rsid w:val="00091F2D"/>
    <w:rPr>
      <w:b/>
      <w:bCs/>
    </w:rPr>
  </w:style>
  <w:style w:type="character" w:customStyle="1" w:styleId="Char2">
    <w:name w:val="메모 주제 Char"/>
    <w:basedOn w:val="Char1"/>
    <w:link w:val="a8"/>
    <w:uiPriority w:val="99"/>
    <w:semiHidden/>
    <w:rsid w:val="00091F2D"/>
    <w:rPr>
      <w:b/>
      <w:bCs/>
    </w:rPr>
  </w:style>
  <w:style w:type="paragraph" w:styleId="a9">
    <w:name w:val="Balloon Text"/>
    <w:basedOn w:val="a"/>
    <w:link w:val="Char3"/>
    <w:uiPriority w:val="99"/>
    <w:semiHidden/>
    <w:unhideWhenUsed/>
    <w:rsid w:val="00091F2D"/>
    <w:pPr>
      <w:spacing w:after="0" w:line="240" w:lineRule="auto"/>
    </w:pPr>
    <w:rPr>
      <w:rFonts w:asciiTheme="majorHAnsi" w:eastAsiaTheme="majorEastAsia" w:hAnsiTheme="majorHAnsi" w:cstheme="majorBidi"/>
      <w:sz w:val="18"/>
      <w:szCs w:val="18"/>
    </w:rPr>
  </w:style>
  <w:style w:type="character" w:customStyle="1" w:styleId="Char3">
    <w:name w:val="풍선 도움말 텍스트 Char"/>
    <w:basedOn w:val="a0"/>
    <w:link w:val="a9"/>
    <w:uiPriority w:val="99"/>
    <w:semiHidden/>
    <w:rsid w:val="00091F2D"/>
    <w:rPr>
      <w:rFonts w:asciiTheme="majorHAnsi" w:eastAsiaTheme="majorEastAsia" w:hAnsiTheme="majorHAnsi" w:cstheme="majorBidi"/>
      <w:sz w:val="18"/>
      <w:szCs w:val="18"/>
    </w:rPr>
  </w:style>
  <w:style w:type="character" w:styleId="aa">
    <w:name w:val="Placeholder Text"/>
    <w:basedOn w:val="a0"/>
    <w:uiPriority w:val="99"/>
    <w:semiHidden/>
    <w:rsid w:val="00074357"/>
    <w:rPr>
      <w:color w:val="808080"/>
    </w:rPr>
  </w:style>
  <w:style w:type="character" w:styleId="ab">
    <w:name w:val="Hyperlink"/>
    <w:basedOn w:val="a0"/>
    <w:uiPriority w:val="99"/>
    <w:unhideWhenUsed/>
    <w:rsid w:val="007D56AF"/>
    <w:rPr>
      <w:color w:val="0563C1" w:themeColor="hyperlink"/>
      <w:u w:val="single"/>
    </w:rPr>
  </w:style>
  <w:style w:type="character" w:styleId="ac">
    <w:name w:val="Unresolved Mention"/>
    <w:basedOn w:val="a0"/>
    <w:uiPriority w:val="99"/>
    <w:semiHidden/>
    <w:unhideWhenUsed/>
    <w:rsid w:val="007D56AF"/>
    <w:rPr>
      <w:color w:val="808080"/>
      <w:shd w:val="clear" w:color="auto" w:fill="E6E6E6"/>
    </w:rPr>
  </w:style>
  <w:style w:type="paragraph" w:styleId="ad">
    <w:name w:val="footnote text"/>
    <w:basedOn w:val="a"/>
    <w:link w:val="Char4"/>
    <w:uiPriority w:val="99"/>
    <w:semiHidden/>
    <w:unhideWhenUsed/>
    <w:rsid w:val="007604FD"/>
    <w:pPr>
      <w:snapToGrid w:val="0"/>
      <w:jc w:val="left"/>
    </w:pPr>
  </w:style>
  <w:style w:type="character" w:customStyle="1" w:styleId="Char4">
    <w:name w:val="각주 텍스트 Char"/>
    <w:basedOn w:val="a0"/>
    <w:link w:val="ad"/>
    <w:uiPriority w:val="99"/>
    <w:semiHidden/>
    <w:rsid w:val="007604FD"/>
  </w:style>
  <w:style w:type="character" w:styleId="ae">
    <w:name w:val="footnote reference"/>
    <w:basedOn w:val="a0"/>
    <w:uiPriority w:val="99"/>
    <w:semiHidden/>
    <w:unhideWhenUsed/>
    <w:rsid w:val="007604FD"/>
    <w:rPr>
      <w:vertAlign w:val="superscript"/>
    </w:rPr>
  </w:style>
  <w:style w:type="paragraph" w:styleId="af">
    <w:name w:val="Date"/>
    <w:basedOn w:val="a"/>
    <w:next w:val="a"/>
    <w:link w:val="Char5"/>
    <w:uiPriority w:val="99"/>
    <w:semiHidden/>
    <w:unhideWhenUsed/>
    <w:rsid w:val="00267742"/>
  </w:style>
  <w:style w:type="character" w:customStyle="1" w:styleId="Char5">
    <w:name w:val="날짜 Char"/>
    <w:basedOn w:val="a0"/>
    <w:link w:val="af"/>
    <w:uiPriority w:val="99"/>
    <w:semiHidden/>
    <w:rsid w:val="002677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7480260">
      <w:bodyDiv w:val="1"/>
      <w:marLeft w:val="0"/>
      <w:marRight w:val="0"/>
      <w:marTop w:val="0"/>
      <w:marBottom w:val="0"/>
      <w:divBdr>
        <w:top w:val="none" w:sz="0" w:space="0" w:color="auto"/>
        <w:left w:val="none" w:sz="0" w:space="0" w:color="auto"/>
        <w:bottom w:val="none" w:sz="0" w:space="0" w:color="auto"/>
        <w:right w:val="none" w:sz="0" w:space="0" w:color="auto"/>
      </w:divBdr>
      <w:divsChild>
        <w:div w:id="1805540505">
          <w:marLeft w:val="0"/>
          <w:marRight w:val="0"/>
          <w:marTop w:val="0"/>
          <w:marBottom w:val="0"/>
          <w:divBdr>
            <w:top w:val="none" w:sz="0" w:space="0" w:color="auto"/>
            <w:left w:val="none" w:sz="0" w:space="0" w:color="auto"/>
            <w:bottom w:val="none" w:sz="0" w:space="0" w:color="auto"/>
            <w:right w:val="none" w:sz="0" w:space="0" w:color="auto"/>
          </w:divBdr>
          <w:divsChild>
            <w:div w:id="303394383">
              <w:marLeft w:val="0"/>
              <w:marRight w:val="0"/>
              <w:marTop w:val="0"/>
              <w:marBottom w:val="0"/>
              <w:divBdr>
                <w:top w:val="none" w:sz="0" w:space="0" w:color="auto"/>
                <w:left w:val="none" w:sz="0" w:space="0" w:color="auto"/>
                <w:bottom w:val="none" w:sz="0" w:space="0" w:color="auto"/>
                <w:right w:val="none" w:sz="0" w:space="0" w:color="auto"/>
              </w:divBdr>
              <w:divsChild>
                <w:div w:id="194735362">
                  <w:marLeft w:val="0"/>
                  <w:marRight w:val="0"/>
                  <w:marTop w:val="0"/>
                  <w:marBottom w:val="0"/>
                  <w:divBdr>
                    <w:top w:val="none" w:sz="0" w:space="0" w:color="auto"/>
                    <w:left w:val="none" w:sz="0" w:space="0" w:color="auto"/>
                    <w:bottom w:val="none" w:sz="0" w:space="0" w:color="auto"/>
                    <w:right w:val="none" w:sz="0" w:space="0" w:color="auto"/>
                  </w:divBdr>
                  <w:divsChild>
                    <w:div w:id="1884095415">
                      <w:marLeft w:val="0"/>
                      <w:marRight w:val="0"/>
                      <w:marTop w:val="0"/>
                      <w:marBottom w:val="0"/>
                      <w:divBdr>
                        <w:top w:val="none" w:sz="0" w:space="0" w:color="auto"/>
                        <w:left w:val="none" w:sz="0" w:space="0" w:color="auto"/>
                        <w:bottom w:val="none" w:sz="0" w:space="0" w:color="auto"/>
                        <w:right w:val="none" w:sz="0" w:space="0" w:color="auto"/>
                      </w:divBdr>
                      <w:divsChild>
                        <w:div w:id="1452238504">
                          <w:marLeft w:val="0"/>
                          <w:marRight w:val="0"/>
                          <w:marTop w:val="0"/>
                          <w:marBottom w:val="0"/>
                          <w:divBdr>
                            <w:top w:val="none" w:sz="0" w:space="0" w:color="auto"/>
                            <w:left w:val="none" w:sz="0" w:space="0" w:color="auto"/>
                            <w:bottom w:val="none" w:sz="0" w:space="0" w:color="auto"/>
                            <w:right w:val="none" w:sz="0" w:space="0" w:color="auto"/>
                          </w:divBdr>
                          <w:divsChild>
                            <w:div w:id="1721590466">
                              <w:marLeft w:val="0"/>
                              <w:marRight w:val="0"/>
                              <w:marTop w:val="0"/>
                              <w:marBottom w:val="0"/>
                              <w:divBdr>
                                <w:top w:val="none" w:sz="0" w:space="0" w:color="auto"/>
                                <w:left w:val="none" w:sz="0" w:space="0" w:color="auto"/>
                                <w:bottom w:val="none" w:sz="0" w:space="0" w:color="auto"/>
                                <w:right w:val="none" w:sz="0" w:space="0" w:color="auto"/>
                              </w:divBdr>
                              <w:divsChild>
                                <w:div w:id="1423255164">
                                  <w:marLeft w:val="0"/>
                                  <w:marRight w:val="0"/>
                                  <w:marTop w:val="0"/>
                                  <w:marBottom w:val="0"/>
                                  <w:divBdr>
                                    <w:top w:val="none" w:sz="0" w:space="0" w:color="auto"/>
                                    <w:left w:val="none" w:sz="0" w:space="0" w:color="auto"/>
                                    <w:bottom w:val="none" w:sz="0" w:space="0" w:color="auto"/>
                                    <w:right w:val="none" w:sz="0" w:space="0" w:color="auto"/>
                                  </w:divBdr>
                                  <w:divsChild>
                                    <w:div w:id="1473982096">
                                      <w:marLeft w:val="0"/>
                                      <w:marRight w:val="0"/>
                                      <w:marTop w:val="0"/>
                                      <w:marBottom w:val="0"/>
                                      <w:divBdr>
                                        <w:top w:val="none" w:sz="0" w:space="0" w:color="auto"/>
                                        <w:left w:val="none" w:sz="0" w:space="0" w:color="auto"/>
                                        <w:bottom w:val="none" w:sz="0" w:space="0" w:color="auto"/>
                                        <w:right w:val="none" w:sz="0" w:space="0" w:color="auto"/>
                                      </w:divBdr>
                                      <w:divsChild>
                                        <w:div w:id="1664311475">
                                          <w:marLeft w:val="0"/>
                                          <w:marRight w:val="0"/>
                                          <w:marTop w:val="0"/>
                                          <w:marBottom w:val="0"/>
                                          <w:divBdr>
                                            <w:top w:val="none" w:sz="0" w:space="0" w:color="auto"/>
                                            <w:left w:val="none" w:sz="0" w:space="0" w:color="auto"/>
                                            <w:bottom w:val="none" w:sz="0" w:space="0" w:color="auto"/>
                                            <w:right w:val="none" w:sz="0" w:space="0" w:color="auto"/>
                                          </w:divBdr>
                                          <w:divsChild>
                                            <w:div w:id="345979770">
                                              <w:marLeft w:val="0"/>
                                              <w:marRight w:val="0"/>
                                              <w:marTop w:val="0"/>
                                              <w:marBottom w:val="0"/>
                                              <w:divBdr>
                                                <w:top w:val="none" w:sz="0" w:space="0" w:color="auto"/>
                                                <w:left w:val="none" w:sz="0" w:space="0" w:color="auto"/>
                                                <w:bottom w:val="none" w:sz="0" w:space="0" w:color="auto"/>
                                                <w:right w:val="none" w:sz="0" w:space="0" w:color="auto"/>
                                              </w:divBdr>
                                              <w:divsChild>
                                                <w:div w:id="905921901">
                                                  <w:marLeft w:val="0"/>
                                                  <w:marRight w:val="0"/>
                                                  <w:marTop w:val="0"/>
                                                  <w:marBottom w:val="0"/>
                                                  <w:divBdr>
                                                    <w:top w:val="none" w:sz="0" w:space="0" w:color="auto"/>
                                                    <w:left w:val="none" w:sz="0" w:space="0" w:color="auto"/>
                                                    <w:bottom w:val="none" w:sz="0" w:space="0" w:color="auto"/>
                                                    <w:right w:val="none" w:sz="0" w:space="0" w:color="auto"/>
                                                  </w:divBdr>
                                                  <w:divsChild>
                                                    <w:div w:id="225116545">
                                                      <w:marLeft w:val="0"/>
                                                      <w:marRight w:val="0"/>
                                                      <w:marTop w:val="0"/>
                                                      <w:marBottom w:val="0"/>
                                                      <w:divBdr>
                                                        <w:top w:val="none" w:sz="0" w:space="0" w:color="auto"/>
                                                        <w:left w:val="none" w:sz="0" w:space="0" w:color="auto"/>
                                                        <w:bottom w:val="none" w:sz="0" w:space="0" w:color="auto"/>
                                                        <w:right w:val="none" w:sz="0" w:space="0" w:color="auto"/>
                                                      </w:divBdr>
                                                      <w:divsChild>
                                                        <w:div w:id="196695753">
                                                          <w:marLeft w:val="0"/>
                                                          <w:marRight w:val="0"/>
                                                          <w:marTop w:val="0"/>
                                                          <w:marBottom w:val="0"/>
                                                          <w:divBdr>
                                                            <w:top w:val="none" w:sz="0" w:space="0" w:color="auto"/>
                                                            <w:left w:val="none" w:sz="0" w:space="0" w:color="auto"/>
                                                            <w:bottom w:val="none" w:sz="0" w:space="0" w:color="auto"/>
                                                            <w:right w:val="none" w:sz="0" w:space="0" w:color="auto"/>
                                                          </w:divBdr>
                                                          <w:divsChild>
                                                            <w:div w:id="982002765">
                                                              <w:marLeft w:val="0"/>
                                                              <w:marRight w:val="0"/>
                                                              <w:marTop w:val="0"/>
                                                              <w:marBottom w:val="0"/>
                                                              <w:divBdr>
                                                                <w:top w:val="none" w:sz="0" w:space="0" w:color="auto"/>
                                                                <w:left w:val="none" w:sz="0" w:space="0" w:color="auto"/>
                                                                <w:bottom w:val="none" w:sz="0" w:space="0" w:color="auto"/>
                                                                <w:right w:val="none" w:sz="0" w:space="0" w:color="auto"/>
                                                              </w:divBdr>
                                                              <w:divsChild>
                                                                <w:div w:id="893388392">
                                                                  <w:marLeft w:val="0"/>
                                                                  <w:marRight w:val="0"/>
                                                                  <w:marTop w:val="0"/>
                                                                  <w:marBottom w:val="0"/>
                                                                  <w:divBdr>
                                                                    <w:top w:val="none" w:sz="0" w:space="0" w:color="auto"/>
                                                                    <w:left w:val="none" w:sz="0" w:space="0" w:color="auto"/>
                                                                    <w:bottom w:val="none" w:sz="0" w:space="0" w:color="auto"/>
                                                                    <w:right w:val="none" w:sz="0" w:space="0" w:color="auto"/>
                                                                  </w:divBdr>
                                                                  <w:divsChild>
                                                                    <w:div w:id="1412697464">
                                                                      <w:marLeft w:val="0"/>
                                                                      <w:marRight w:val="0"/>
                                                                      <w:marTop w:val="0"/>
                                                                      <w:marBottom w:val="0"/>
                                                                      <w:divBdr>
                                                                        <w:top w:val="none" w:sz="0" w:space="0" w:color="auto"/>
                                                                        <w:left w:val="none" w:sz="0" w:space="0" w:color="auto"/>
                                                                        <w:bottom w:val="none" w:sz="0" w:space="0" w:color="auto"/>
                                                                        <w:right w:val="none" w:sz="0" w:space="0" w:color="auto"/>
                                                                      </w:divBdr>
                                                                      <w:divsChild>
                                                                        <w:div w:id="872957921">
                                                                          <w:marLeft w:val="0"/>
                                                                          <w:marRight w:val="0"/>
                                                                          <w:marTop w:val="0"/>
                                                                          <w:marBottom w:val="0"/>
                                                                          <w:divBdr>
                                                                            <w:top w:val="none" w:sz="0" w:space="0" w:color="auto"/>
                                                                            <w:left w:val="none" w:sz="0" w:space="0" w:color="auto"/>
                                                                            <w:bottom w:val="none" w:sz="0" w:space="0" w:color="auto"/>
                                                                            <w:right w:val="none" w:sz="0" w:space="0" w:color="auto"/>
                                                                          </w:divBdr>
                                                                          <w:divsChild>
                                                                            <w:div w:id="523176532">
                                                                              <w:marLeft w:val="0"/>
                                                                              <w:marRight w:val="0"/>
                                                                              <w:marTop w:val="0"/>
                                                                              <w:marBottom w:val="0"/>
                                                                              <w:divBdr>
                                                                                <w:top w:val="none" w:sz="0" w:space="0" w:color="auto"/>
                                                                                <w:left w:val="none" w:sz="0" w:space="0" w:color="auto"/>
                                                                                <w:bottom w:val="none" w:sz="0" w:space="0" w:color="auto"/>
                                                                                <w:right w:val="none" w:sz="0" w:space="0" w:color="auto"/>
                                                                              </w:divBdr>
                                                                              <w:divsChild>
                                                                                <w:div w:id="917977186">
                                                                                  <w:marLeft w:val="0"/>
                                                                                  <w:marRight w:val="0"/>
                                                                                  <w:marTop w:val="0"/>
                                                                                  <w:marBottom w:val="0"/>
                                                                                  <w:divBdr>
                                                                                    <w:top w:val="none" w:sz="0" w:space="0" w:color="auto"/>
                                                                                    <w:left w:val="none" w:sz="0" w:space="0" w:color="auto"/>
                                                                                    <w:bottom w:val="none" w:sz="0" w:space="0" w:color="auto"/>
                                                                                    <w:right w:val="none" w:sz="0" w:space="0" w:color="auto"/>
                                                                                  </w:divBdr>
                                                                                  <w:divsChild>
                                                                                    <w:div w:id="151868830">
                                                                                      <w:marLeft w:val="0"/>
                                                                                      <w:marRight w:val="0"/>
                                                                                      <w:marTop w:val="0"/>
                                                                                      <w:marBottom w:val="0"/>
                                                                                      <w:divBdr>
                                                                                        <w:top w:val="none" w:sz="0" w:space="0" w:color="auto"/>
                                                                                        <w:left w:val="none" w:sz="0" w:space="0" w:color="auto"/>
                                                                                        <w:bottom w:val="none" w:sz="0" w:space="0" w:color="auto"/>
                                                                                        <w:right w:val="none" w:sz="0" w:space="0" w:color="auto"/>
                                                                                      </w:divBdr>
                                                                                      <w:divsChild>
                                                                                        <w:div w:id="1187675665">
                                                                                          <w:marLeft w:val="0"/>
                                                                                          <w:marRight w:val="0"/>
                                                                                          <w:marTop w:val="0"/>
                                                                                          <w:marBottom w:val="0"/>
                                                                                          <w:divBdr>
                                                                                            <w:top w:val="none" w:sz="0" w:space="0" w:color="auto"/>
                                                                                            <w:left w:val="none" w:sz="0" w:space="0" w:color="auto"/>
                                                                                            <w:bottom w:val="none" w:sz="0" w:space="0" w:color="auto"/>
                                                                                            <w:right w:val="none" w:sz="0" w:space="0" w:color="auto"/>
                                                                                          </w:divBdr>
                                                                                          <w:divsChild>
                                                                                            <w:div w:id="813446977">
                                                                                              <w:marLeft w:val="0"/>
                                                                                              <w:marRight w:val="120"/>
                                                                                              <w:marTop w:val="0"/>
                                                                                              <w:marBottom w:val="150"/>
                                                                                              <w:divBdr>
                                                                                                <w:top w:val="single" w:sz="2" w:space="0" w:color="EFEFEF"/>
                                                                                                <w:left w:val="single" w:sz="6" w:space="0" w:color="EFEFEF"/>
                                                                                                <w:bottom w:val="single" w:sz="6" w:space="0" w:color="E2E2E2"/>
                                                                                                <w:right w:val="single" w:sz="6" w:space="0" w:color="EFEFEF"/>
                                                                                              </w:divBdr>
                                                                                              <w:divsChild>
                                                                                                <w:div w:id="1288852484">
                                                                                                  <w:marLeft w:val="0"/>
                                                                                                  <w:marRight w:val="0"/>
                                                                                                  <w:marTop w:val="0"/>
                                                                                                  <w:marBottom w:val="0"/>
                                                                                                  <w:divBdr>
                                                                                                    <w:top w:val="none" w:sz="0" w:space="0" w:color="auto"/>
                                                                                                    <w:left w:val="none" w:sz="0" w:space="0" w:color="auto"/>
                                                                                                    <w:bottom w:val="none" w:sz="0" w:space="0" w:color="auto"/>
                                                                                                    <w:right w:val="none" w:sz="0" w:space="0" w:color="auto"/>
                                                                                                  </w:divBdr>
                                                                                                  <w:divsChild>
                                                                                                    <w:div w:id="1117411766">
                                                                                                      <w:marLeft w:val="0"/>
                                                                                                      <w:marRight w:val="0"/>
                                                                                                      <w:marTop w:val="0"/>
                                                                                                      <w:marBottom w:val="0"/>
                                                                                                      <w:divBdr>
                                                                                                        <w:top w:val="none" w:sz="0" w:space="0" w:color="auto"/>
                                                                                                        <w:left w:val="none" w:sz="0" w:space="0" w:color="auto"/>
                                                                                                        <w:bottom w:val="none" w:sz="0" w:space="0" w:color="auto"/>
                                                                                                        <w:right w:val="none" w:sz="0" w:space="0" w:color="auto"/>
                                                                                                      </w:divBdr>
                                                                                                      <w:divsChild>
                                                                                                        <w:div w:id="328800973">
                                                                                                          <w:marLeft w:val="0"/>
                                                                                                          <w:marRight w:val="0"/>
                                                                                                          <w:marTop w:val="0"/>
                                                                                                          <w:marBottom w:val="0"/>
                                                                                                          <w:divBdr>
                                                                                                            <w:top w:val="none" w:sz="0" w:space="0" w:color="auto"/>
                                                                                                            <w:left w:val="none" w:sz="0" w:space="0" w:color="auto"/>
                                                                                                            <w:bottom w:val="none" w:sz="0" w:space="0" w:color="auto"/>
                                                                                                            <w:right w:val="none" w:sz="0" w:space="0" w:color="auto"/>
                                                                                                          </w:divBdr>
                                                                                                          <w:divsChild>
                                                                                                            <w:div w:id="1075585270">
                                                                                                              <w:marLeft w:val="0"/>
                                                                                                              <w:marRight w:val="0"/>
                                                                                                              <w:marTop w:val="0"/>
                                                                                                              <w:marBottom w:val="0"/>
                                                                                                              <w:divBdr>
                                                                                                                <w:top w:val="none" w:sz="0" w:space="0" w:color="auto"/>
                                                                                                                <w:left w:val="none" w:sz="0" w:space="0" w:color="auto"/>
                                                                                                                <w:bottom w:val="none" w:sz="0" w:space="0" w:color="auto"/>
                                                                                                                <w:right w:val="none" w:sz="0" w:space="0" w:color="auto"/>
                                                                                                              </w:divBdr>
                                                                                                              <w:divsChild>
                                                                                                                <w:div w:id="1206259698">
                                                                                                                  <w:marLeft w:val="-570"/>
                                                                                                                  <w:marRight w:val="0"/>
                                                                                                                  <w:marTop w:val="150"/>
                                                                                                                  <w:marBottom w:val="225"/>
                                                                                                                  <w:divBdr>
                                                                                                                    <w:top w:val="single" w:sz="6" w:space="2" w:color="D8D8D8"/>
                                                                                                                    <w:left w:val="single" w:sz="6" w:space="2" w:color="D8D8D8"/>
                                                                                                                    <w:bottom w:val="single" w:sz="6" w:space="2" w:color="D8D8D8"/>
                                                                                                                    <w:right w:val="single" w:sz="6" w:space="2" w:color="D8D8D8"/>
                                                                                                                  </w:divBdr>
                                                                                                                  <w:divsChild>
                                                                                                                    <w:div w:id="1662154672">
                                                                                                                      <w:marLeft w:val="0"/>
                                                                                                                      <w:marRight w:val="0"/>
                                                                                                                      <w:marTop w:val="0"/>
                                                                                                                      <w:marBottom w:val="0"/>
                                                                                                                      <w:divBdr>
                                                                                                                        <w:top w:val="none" w:sz="0" w:space="0" w:color="auto"/>
                                                                                                                        <w:left w:val="none" w:sz="0" w:space="0" w:color="auto"/>
                                                                                                                        <w:bottom w:val="none" w:sz="0" w:space="0" w:color="auto"/>
                                                                                                                        <w:right w:val="none" w:sz="0" w:space="0" w:color="auto"/>
                                                                                                                      </w:divBdr>
                                                                                                                      <w:divsChild>
                                                                                                                        <w:div w:id="226111564">
                                                                                                                          <w:marLeft w:val="225"/>
                                                                                                                          <w:marRight w:val="225"/>
                                                                                                                          <w:marTop w:val="75"/>
                                                                                                                          <w:marBottom w:val="75"/>
                                                                                                                          <w:divBdr>
                                                                                                                            <w:top w:val="none" w:sz="0" w:space="0" w:color="auto"/>
                                                                                                                            <w:left w:val="none" w:sz="0" w:space="0" w:color="auto"/>
                                                                                                                            <w:bottom w:val="none" w:sz="0" w:space="0" w:color="auto"/>
                                                                                                                            <w:right w:val="none" w:sz="0" w:space="0" w:color="auto"/>
                                                                                                                          </w:divBdr>
                                                                                                                          <w:divsChild>
                                                                                                                            <w:div w:id="1703630891">
                                                                                                                              <w:marLeft w:val="0"/>
                                                                                                                              <w:marRight w:val="0"/>
                                                                                                                              <w:marTop w:val="0"/>
                                                                                                                              <w:marBottom w:val="0"/>
                                                                                                                              <w:divBdr>
                                                                                                                                <w:top w:val="single" w:sz="6" w:space="0" w:color="auto"/>
                                                                                                                                <w:left w:val="single" w:sz="6" w:space="0" w:color="auto"/>
                                                                                                                                <w:bottom w:val="single" w:sz="6" w:space="0" w:color="auto"/>
                                                                                                                                <w:right w:val="single" w:sz="6" w:space="0" w:color="auto"/>
                                                                                                                              </w:divBdr>
                                                                                                                              <w:divsChild>
                                                                                                                                <w:div w:id="743723343">
                                                                                                                                  <w:marLeft w:val="0"/>
                                                                                                                                  <w:marRight w:val="0"/>
                                                                                                                                  <w:marTop w:val="0"/>
                                                                                                                                  <w:marBottom w:val="0"/>
                                                                                                                                  <w:divBdr>
                                                                                                                                    <w:top w:val="none" w:sz="0" w:space="0" w:color="auto"/>
                                                                                                                                    <w:left w:val="none" w:sz="0" w:space="0" w:color="auto"/>
                                                                                                                                    <w:bottom w:val="none" w:sz="0" w:space="0" w:color="auto"/>
                                                                                                                                    <w:right w:val="none" w:sz="0" w:space="0" w:color="auto"/>
                                                                                                                                  </w:divBdr>
                                                                                                                                  <w:divsChild>
                                                                                                                                    <w:div w:id="554588149">
                                                                                                                                      <w:marLeft w:val="0"/>
                                                                                                                                      <w:marRight w:val="0"/>
                                                                                                                                      <w:marTop w:val="0"/>
                                                                                                                                      <w:marBottom w:val="0"/>
                                                                                                                                      <w:divBdr>
                                                                                                                                        <w:top w:val="none" w:sz="0" w:space="0" w:color="auto"/>
                                                                                                                                        <w:left w:val="none" w:sz="0" w:space="0" w:color="auto"/>
                                                                                                                                        <w:bottom w:val="none" w:sz="0" w:space="0" w:color="auto"/>
                                                                                                                                        <w:right w:val="none" w:sz="0" w:space="0" w:color="auto"/>
                                                                                                                                      </w:divBdr>
                                                                                                                                    </w:div>
                                                                                                                                    <w:div w:id="1077239871">
                                                                                                                                      <w:marLeft w:val="0"/>
                                                                                                                                      <w:marRight w:val="0"/>
                                                                                                                                      <w:marTop w:val="0"/>
                                                                                                                                      <w:marBottom w:val="0"/>
                                                                                                                                      <w:divBdr>
                                                                                                                                        <w:top w:val="none" w:sz="0" w:space="0" w:color="auto"/>
                                                                                                                                        <w:left w:val="none" w:sz="0" w:space="0" w:color="auto"/>
                                                                                                                                        <w:bottom w:val="none" w:sz="0" w:space="0" w:color="auto"/>
                                                                                                                                        <w:right w:val="none" w:sz="0" w:space="0" w:color="auto"/>
                                                                                                                                      </w:divBdr>
                                                                                                                                    </w:div>
                                                                                                                                    <w:div w:id="183942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6F7D1A-73E2-48B3-A046-E5AD51616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855</TotalTime>
  <Pages>103</Pages>
  <Words>25855</Words>
  <Characters>147374</Characters>
  <Application>Microsoft Office Word</Application>
  <DocSecurity>0</DocSecurity>
  <Lines>1228</Lines>
  <Paragraphs>345</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172884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hyosun kim</dc:creator>
  <cp:keywords/>
  <dc:description/>
  <cp:lastModifiedBy>hyosun kim</cp:lastModifiedBy>
  <cp:revision>31</cp:revision>
  <dcterms:created xsi:type="dcterms:W3CDTF">2018-08-14T11:56:00Z</dcterms:created>
  <dcterms:modified xsi:type="dcterms:W3CDTF">2018-08-15T14:53:00Z</dcterms:modified>
</cp:coreProperties>
</file>